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F9EA4" w14:textId="6C516D5C" w:rsidR="005B31DC" w:rsidRDefault="005B31DC">
      <w:pPr>
        <w:jc w:val="both"/>
        <w:rPr>
          <w:rFonts w:ascii="Cambria" w:hAnsi="Cambria" w:cs="Cambria"/>
        </w:rPr>
      </w:pPr>
    </w:p>
    <w:p w14:paraId="2DA5D824" w14:textId="77777777" w:rsidR="005B31DC" w:rsidRDefault="005B31DC">
      <w:pPr>
        <w:jc w:val="both"/>
        <w:rPr>
          <w:rFonts w:ascii="Cambria" w:hAnsi="Cambria" w:cs="Cambria"/>
        </w:rPr>
      </w:pPr>
    </w:p>
    <w:p w14:paraId="4E619965" w14:textId="77777777" w:rsidR="005B31DC" w:rsidRDefault="00945C37">
      <w:pPr>
        <w:pStyle w:val="NoSpacing"/>
        <w:spacing w:before="80" w:after="40"/>
        <w:rPr>
          <w:rFonts w:ascii="Cambria" w:eastAsia="Cambria" w:hAnsi="Cambria" w:cs="Cambria"/>
          <w:b/>
          <w:bCs/>
          <w:caps/>
          <w:sz w:val="40"/>
          <w:szCs w:val="40"/>
        </w:rPr>
      </w:pPr>
      <w:r>
        <w:rPr>
          <w:rFonts w:ascii="Cambria" w:eastAsia="Cambria" w:hAnsi="Cambria" w:cs="Cambria"/>
          <w:b/>
          <w:bCs/>
          <w:caps/>
          <w:sz w:val="40"/>
          <w:szCs w:val="40"/>
        </w:rPr>
        <w:t>NATIONAL COMMUNICATIONS AUTHORITY</w:t>
      </w:r>
    </w:p>
    <w:p w14:paraId="11469A00" w14:textId="77777777" w:rsidR="005B31DC" w:rsidRDefault="005B31DC">
      <w:pPr>
        <w:pStyle w:val="NoSpacing"/>
        <w:spacing w:before="80" w:after="40"/>
        <w:rPr>
          <w:rFonts w:ascii="Cambria" w:eastAsia="Cambria" w:hAnsi="Cambria" w:cs="Cambria"/>
          <w:b/>
          <w:bCs/>
          <w:caps/>
          <w:sz w:val="40"/>
          <w:szCs w:val="40"/>
        </w:rPr>
      </w:pPr>
    </w:p>
    <w:p w14:paraId="5C8EB176" w14:textId="77777777" w:rsidR="005B31DC" w:rsidRDefault="00945C37">
      <w:pPr>
        <w:pStyle w:val="NoSpacing"/>
        <w:spacing w:before="80" w:after="40"/>
        <w:jc w:val="center"/>
        <w:rPr>
          <w:rFonts w:ascii="Cambria" w:hAnsi="Cambria" w:cs="Cambria"/>
        </w:rPr>
      </w:pPr>
      <w:r>
        <w:rPr>
          <w:rFonts w:ascii="Cambria" w:eastAsia="Calibri" w:hAnsi="Cambria" w:cs="Cambria"/>
          <w:b/>
          <w:noProof/>
          <w:color w:val="000000" w:themeColor="text1"/>
          <w:lang w:val="en-US" w:eastAsia="en-US"/>
        </w:rPr>
        <w:drawing>
          <wp:inline distT="0" distB="0" distL="0" distR="0" wp14:anchorId="0217EEC5" wp14:editId="6B2FAE24">
            <wp:extent cx="1551305" cy="1246505"/>
            <wp:effectExtent l="0" t="0" r="0" b="0"/>
            <wp:docPr id="6" name="Picture 6" descr="C:\Users\DADEBEA GIFTY  ADJEI\Downloads\FINAL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DADEBEA GIFTY  ADJEI\Downloads\FINAL LOGO(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01187" cy="1286729"/>
                    </a:xfrm>
                    <a:prstGeom prst="rect">
                      <a:avLst/>
                    </a:prstGeom>
                    <a:noFill/>
                    <a:ln>
                      <a:noFill/>
                    </a:ln>
                  </pic:spPr>
                </pic:pic>
              </a:graphicData>
            </a:graphic>
          </wp:inline>
        </w:drawing>
      </w:r>
    </w:p>
    <w:p w14:paraId="693AF64C" w14:textId="77777777" w:rsidR="005B31DC" w:rsidRDefault="005B31DC">
      <w:pPr>
        <w:pStyle w:val="NoSpacing"/>
        <w:spacing w:before="80" w:after="40"/>
        <w:rPr>
          <w:rFonts w:ascii="Cambria" w:hAnsi="Cambria" w:cs="Cambria"/>
        </w:rPr>
      </w:pPr>
    </w:p>
    <w:p w14:paraId="1607BA2C" w14:textId="77777777" w:rsidR="005B31DC" w:rsidRDefault="005B31DC">
      <w:pPr>
        <w:pStyle w:val="NoSpacing"/>
        <w:spacing w:before="80" w:after="40"/>
        <w:rPr>
          <w:rFonts w:ascii="Cambria" w:hAnsi="Cambria" w:cs="Cambria"/>
        </w:rPr>
      </w:pPr>
    </w:p>
    <w:p w14:paraId="417DE76D" w14:textId="77777777" w:rsidR="005B31DC" w:rsidRDefault="005B31DC">
      <w:pPr>
        <w:pStyle w:val="NoSpacing"/>
        <w:spacing w:before="80" w:after="40"/>
        <w:rPr>
          <w:rFonts w:ascii="Cambria" w:hAnsi="Cambria" w:cs="Cambria"/>
        </w:rPr>
      </w:pPr>
    </w:p>
    <w:p w14:paraId="16241857" w14:textId="77777777" w:rsidR="005B31DC" w:rsidRDefault="005B31DC">
      <w:pPr>
        <w:pStyle w:val="NoSpacing"/>
        <w:spacing w:before="80" w:after="40"/>
        <w:rPr>
          <w:rFonts w:ascii="Cambria" w:hAnsi="Cambria" w:cs="Cambria"/>
        </w:rPr>
      </w:pPr>
    </w:p>
    <w:p w14:paraId="01C68FFC" w14:textId="77777777" w:rsidR="005B31DC" w:rsidRDefault="005B31DC">
      <w:pPr>
        <w:pStyle w:val="NoSpacing"/>
        <w:spacing w:before="80" w:after="40"/>
        <w:rPr>
          <w:rFonts w:ascii="Cambria" w:hAnsi="Cambria" w:cs="Cambria"/>
        </w:rPr>
      </w:pPr>
    </w:p>
    <w:p w14:paraId="398E69E0" w14:textId="77777777" w:rsidR="005B31DC" w:rsidRDefault="005B31DC">
      <w:pPr>
        <w:pStyle w:val="NoSpacing"/>
        <w:spacing w:before="80" w:after="40"/>
        <w:jc w:val="center"/>
        <w:rPr>
          <w:rFonts w:ascii="Cambria" w:hAnsi="Cambria" w:cs="Cambria"/>
        </w:rPr>
      </w:pPr>
    </w:p>
    <w:p w14:paraId="27807A1D" w14:textId="0F3DEC4A" w:rsidR="005B31DC" w:rsidRDefault="00261A65" w:rsidP="00BC106F">
      <w:pPr>
        <w:pStyle w:val="NoSpacing"/>
        <w:spacing w:before="80" w:after="40"/>
        <w:jc w:val="center"/>
        <w:rPr>
          <w:rFonts w:ascii="Cambria" w:eastAsia="Cambria" w:hAnsi="Cambria" w:cs="Cambria"/>
          <w:b/>
          <w:bCs/>
          <w:sz w:val="40"/>
          <w:szCs w:val="40"/>
        </w:rPr>
      </w:pPr>
      <w:r w:rsidRPr="00261A65">
        <w:rPr>
          <w:rFonts w:ascii="Cambria" w:eastAsia="Cambria" w:hAnsi="Cambria" w:cs="Cambria"/>
          <w:b/>
          <w:bCs/>
          <w:sz w:val="40"/>
          <w:szCs w:val="40"/>
          <w:lang w:val="en-CA"/>
        </w:rPr>
        <w:t xml:space="preserve">CONSULTATION </w:t>
      </w:r>
      <w:r w:rsidR="00BC106F">
        <w:rPr>
          <w:rFonts w:ascii="Cambria" w:eastAsia="Cambria" w:hAnsi="Cambria" w:cs="Cambria"/>
          <w:b/>
          <w:bCs/>
          <w:sz w:val="40"/>
          <w:szCs w:val="40"/>
          <w:lang w:val="en-CA"/>
        </w:rPr>
        <w:t>DOCUMENT</w:t>
      </w:r>
      <w:r w:rsidR="00E16432">
        <w:rPr>
          <w:rFonts w:ascii="Cambria" w:eastAsia="Cambria" w:hAnsi="Cambria" w:cs="Cambria"/>
          <w:b/>
          <w:bCs/>
          <w:sz w:val="40"/>
          <w:szCs w:val="40"/>
          <w:lang w:val="en-CA"/>
        </w:rPr>
        <w:t xml:space="preserve"> </w:t>
      </w:r>
      <w:r w:rsidRPr="00261A65">
        <w:rPr>
          <w:rFonts w:ascii="Cambria" w:eastAsia="Cambria" w:hAnsi="Cambria" w:cs="Cambria"/>
          <w:b/>
          <w:bCs/>
          <w:sz w:val="40"/>
          <w:szCs w:val="40"/>
          <w:lang w:val="en-CA"/>
        </w:rPr>
        <w:t xml:space="preserve">ON THE </w:t>
      </w:r>
      <w:r w:rsidR="00BC106F">
        <w:rPr>
          <w:rFonts w:ascii="Cambria" w:eastAsia="Cambria" w:hAnsi="Cambria" w:cs="Cambria"/>
          <w:b/>
          <w:bCs/>
          <w:sz w:val="40"/>
          <w:szCs w:val="40"/>
          <w:lang w:val="en-CA"/>
        </w:rPr>
        <w:t>DRAFT</w:t>
      </w:r>
      <w:r w:rsidRPr="00261A65">
        <w:rPr>
          <w:rFonts w:ascii="Cambria" w:eastAsia="Cambria" w:hAnsi="Cambria" w:cs="Cambria"/>
          <w:b/>
          <w:bCs/>
          <w:sz w:val="40"/>
          <w:szCs w:val="40"/>
          <w:lang w:val="en-CA"/>
        </w:rPr>
        <w:t xml:space="preserve"> FRAMEWORK FOR </w:t>
      </w:r>
      <w:r w:rsidR="00BC106F">
        <w:rPr>
          <w:rFonts w:ascii="Cambria" w:eastAsia="Cambria" w:hAnsi="Cambria" w:cs="Cambria"/>
          <w:b/>
          <w:bCs/>
          <w:sz w:val="40"/>
          <w:szCs w:val="40"/>
          <w:lang w:val="en-CA"/>
        </w:rPr>
        <w:t>REGULATING</w:t>
      </w:r>
      <w:r w:rsidRPr="00261A65">
        <w:rPr>
          <w:rFonts w:ascii="Cambria" w:eastAsia="Cambria" w:hAnsi="Cambria" w:cs="Cambria"/>
          <w:b/>
          <w:bCs/>
          <w:sz w:val="40"/>
          <w:szCs w:val="40"/>
          <w:lang w:val="en-CA"/>
        </w:rPr>
        <w:t xml:space="preserve"> </w:t>
      </w:r>
      <w:r w:rsidR="00BC106F">
        <w:rPr>
          <w:rFonts w:ascii="Cambria" w:eastAsia="Cambria" w:hAnsi="Cambria" w:cs="Cambria"/>
          <w:b/>
          <w:bCs/>
          <w:sz w:val="40"/>
          <w:szCs w:val="40"/>
          <w:lang w:val="en-CA"/>
        </w:rPr>
        <w:t>THE</w:t>
      </w:r>
      <w:r w:rsidRPr="00261A65">
        <w:rPr>
          <w:rFonts w:ascii="Cambria" w:eastAsia="Cambria" w:hAnsi="Cambria" w:cs="Cambria"/>
          <w:b/>
          <w:bCs/>
          <w:sz w:val="40"/>
          <w:szCs w:val="40"/>
          <w:lang w:val="en-CA"/>
        </w:rPr>
        <w:t xml:space="preserve"> NATIONAL ROAMING WHOLESALE RATES</w:t>
      </w:r>
    </w:p>
    <w:p w14:paraId="06D97CCF" w14:textId="77777777" w:rsidR="005B31DC" w:rsidRDefault="005B31DC">
      <w:pPr>
        <w:pStyle w:val="NoSpacing"/>
        <w:spacing w:before="80" w:after="40"/>
        <w:rPr>
          <w:rFonts w:ascii="Cambria" w:eastAsia="Cambria" w:hAnsi="Cambria" w:cs="Cambria"/>
          <w:b/>
          <w:bCs/>
          <w:sz w:val="40"/>
          <w:szCs w:val="40"/>
        </w:rPr>
      </w:pPr>
    </w:p>
    <w:p w14:paraId="6095D59B" w14:textId="77777777" w:rsidR="005B31DC" w:rsidRDefault="005B31DC">
      <w:pPr>
        <w:pStyle w:val="NoSpacing"/>
        <w:spacing w:before="80" w:after="40"/>
        <w:rPr>
          <w:rFonts w:ascii="Cambria" w:eastAsia="Cambria" w:hAnsi="Cambria" w:cs="Cambria"/>
          <w:b/>
          <w:bCs/>
          <w:sz w:val="40"/>
          <w:szCs w:val="40"/>
        </w:rPr>
      </w:pPr>
    </w:p>
    <w:p w14:paraId="6F30954A" w14:textId="77777777" w:rsidR="005B31DC" w:rsidRDefault="005B31DC">
      <w:pPr>
        <w:pStyle w:val="NoSpacing"/>
        <w:spacing w:before="80" w:after="40"/>
        <w:rPr>
          <w:rFonts w:ascii="Cambria" w:eastAsia="Cambria" w:hAnsi="Cambria" w:cs="Cambria"/>
          <w:b/>
          <w:bCs/>
          <w:sz w:val="40"/>
          <w:szCs w:val="40"/>
        </w:rPr>
      </w:pPr>
    </w:p>
    <w:p w14:paraId="35DC2CFF" w14:textId="77777777" w:rsidR="005B31DC" w:rsidRDefault="005B31DC">
      <w:pPr>
        <w:pStyle w:val="NoSpacing"/>
        <w:spacing w:before="80" w:after="40"/>
        <w:rPr>
          <w:rFonts w:ascii="Cambria" w:eastAsia="Cambria" w:hAnsi="Cambria" w:cs="Cambria"/>
          <w:b/>
          <w:bCs/>
          <w:sz w:val="40"/>
          <w:szCs w:val="40"/>
        </w:rPr>
      </w:pPr>
    </w:p>
    <w:p w14:paraId="5AB708E1" w14:textId="77777777" w:rsidR="005B31DC" w:rsidRDefault="005B31DC">
      <w:pPr>
        <w:pStyle w:val="NoSpacing"/>
        <w:spacing w:before="80" w:after="40"/>
        <w:rPr>
          <w:rFonts w:ascii="Cambria" w:eastAsia="Cambria" w:hAnsi="Cambria" w:cs="Cambria"/>
          <w:b/>
          <w:bCs/>
          <w:sz w:val="40"/>
          <w:szCs w:val="40"/>
        </w:rPr>
      </w:pPr>
    </w:p>
    <w:p w14:paraId="3ADC7C33" w14:textId="77777777" w:rsidR="005B31DC" w:rsidRDefault="005B31DC">
      <w:pPr>
        <w:pStyle w:val="NoSpacing"/>
        <w:spacing w:before="80" w:after="40"/>
        <w:rPr>
          <w:rFonts w:ascii="Cambria" w:eastAsia="Cambria" w:hAnsi="Cambria" w:cs="Cambria"/>
          <w:b/>
          <w:bCs/>
          <w:sz w:val="40"/>
          <w:szCs w:val="40"/>
        </w:rPr>
      </w:pPr>
    </w:p>
    <w:p w14:paraId="37958FE9" w14:textId="77777777" w:rsidR="005B31DC" w:rsidRDefault="005B31DC">
      <w:pPr>
        <w:pStyle w:val="NoSpacing"/>
        <w:spacing w:before="80" w:after="40"/>
        <w:rPr>
          <w:rFonts w:ascii="Cambria" w:hAnsi="Cambria" w:cs="Cambria"/>
        </w:rPr>
      </w:pPr>
    </w:p>
    <w:p w14:paraId="7FBEC03F" w14:textId="09D5E6AD" w:rsidR="005B31DC" w:rsidRDefault="00BC106F">
      <w:pPr>
        <w:pStyle w:val="NoSpacing"/>
        <w:spacing w:before="80" w:after="40"/>
        <w:jc w:val="center"/>
        <w:rPr>
          <w:rFonts w:ascii="Cambria" w:hAnsi="Cambria" w:cs="Cambria"/>
          <w:b/>
          <w:szCs w:val="24"/>
        </w:rPr>
      </w:pPr>
      <w:r>
        <w:rPr>
          <w:rFonts w:ascii="Cambria" w:hAnsi="Cambria" w:cs="Cambria"/>
          <w:b/>
          <w:szCs w:val="24"/>
        </w:rPr>
        <w:t>MARCH</w:t>
      </w:r>
      <w:r w:rsidR="00945C37">
        <w:rPr>
          <w:rFonts w:ascii="Cambria" w:hAnsi="Cambria" w:cs="Cambria"/>
          <w:b/>
          <w:szCs w:val="24"/>
        </w:rPr>
        <w:t xml:space="preserve"> 2026</w:t>
      </w:r>
    </w:p>
    <w:p w14:paraId="53E23296" w14:textId="77777777" w:rsidR="005B31DC" w:rsidRDefault="005B31DC">
      <w:pPr>
        <w:pStyle w:val="NoSpacing"/>
        <w:spacing w:before="80" w:after="40"/>
        <w:jc w:val="center"/>
        <w:rPr>
          <w:rFonts w:ascii="Cambria" w:hAnsi="Cambria" w:cs="Cambria"/>
          <w:b/>
          <w:caps/>
          <w:color w:val="4472C4" w:themeColor="accent5"/>
          <w:szCs w:val="24"/>
        </w:rPr>
      </w:pPr>
    </w:p>
    <w:p w14:paraId="27BB8E84" w14:textId="77777777" w:rsidR="005B31DC" w:rsidRDefault="00945C37">
      <w:pPr>
        <w:spacing w:after="160" w:line="259" w:lineRule="auto"/>
        <w:rPr>
          <w:rFonts w:ascii="Cambria" w:hAnsi="Cambria" w:cs="Cambria"/>
          <w:b/>
          <w:caps/>
          <w:color w:val="4472C4" w:themeColor="accent5"/>
        </w:rPr>
      </w:pPr>
      <w:r>
        <w:rPr>
          <w:rFonts w:ascii="Cambria" w:hAnsi="Cambria" w:cs="Cambria"/>
          <w:b/>
          <w:caps/>
          <w:color w:val="4472C4" w:themeColor="accent5"/>
        </w:rPr>
        <w:br w:type="page"/>
      </w:r>
    </w:p>
    <w:p w14:paraId="59EB22FD" w14:textId="32D1E41C" w:rsidR="005B31DC" w:rsidRDefault="005B31DC">
      <w:pPr>
        <w:spacing w:after="160" w:line="259" w:lineRule="auto"/>
        <w:rPr>
          <w:rFonts w:ascii="Cambria" w:hAnsi="Cambria" w:cs="Cambria"/>
          <w:b/>
          <w:caps/>
          <w:color w:val="4472C4" w:themeColor="accent5"/>
        </w:rPr>
        <w:sectPr w:rsidR="005B31DC">
          <w:headerReference w:type="default" r:id="rId13"/>
          <w:footerReference w:type="default" r:id="rId14"/>
          <w:headerReference w:type="first" r:id="rId15"/>
          <w:footerReference w:type="first" r:id="rId16"/>
          <w:pgSz w:w="11906" w:h="16838"/>
          <w:pgMar w:top="1440" w:right="1440" w:bottom="1440" w:left="1440" w:header="708" w:footer="708" w:gutter="0"/>
          <w:pgNumType w:fmt="upperRoman" w:start="1"/>
          <w:cols w:space="708"/>
          <w:docGrid w:linePitch="360"/>
        </w:sectPr>
      </w:pPr>
    </w:p>
    <w:p w14:paraId="37863B77" w14:textId="77777777" w:rsidR="006C59D4" w:rsidRDefault="006C59D4" w:rsidP="006C59D4">
      <w:pPr>
        <w:jc w:val="center"/>
        <w:rPr>
          <w:rFonts w:ascii="Cambria" w:hAnsi="Cambria"/>
          <w:b/>
          <w:color w:val="2E74B5" w:themeColor="accent1" w:themeShade="BF"/>
          <w:sz w:val="40"/>
        </w:rPr>
      </w:pPr>
      <w:bookmarkStart w:id="0" w:name="_Toc244589632"/>
      <w:bookmarkStart w:id="1" w:name="_Toc19258"/>
      <w:bookmarkStart w:id="2" w:name="_Toc219283080"/>
      <w:bookmarkEnd w:id="0"/>
      <w:r>
        <w:rPr>
          <w:rFonts w:ascii="Cambria" w:hAnsi="Cambria"/>
          <w:b/>
          <w:bCs/>
          <w:sz w:val="28"/>
          <w:szCs w:val="28"/>
        </w:rPr>
        <w:lastRenderedPageBreak/>
        <w:br w:type="page"/>
      </w:r>
      <w:r>
        <w:rPr>
          <w:rFonts w:ascii="Cambria" w:hAnsi="Cambria"/>
          <w:b/>
          <w:color w:val="2E74B5" w:themeColor="accent1" w:themeShade="BF"/>
          <w:sz w:val="40"/>
        </w:rPr>
        <w:lastRenderedPageBreak/>
        <w:t>NATIONAL COMMUNICATIONS AUTHORITY</w:t>
      </w:r>
    </w:p>
    <w:p w14:paraId="33A42471" w14:textId="77777777" w:rsidR="006C59D4" w:rsidRDefault="006C59D4" w:rsidP="006C59D4">
      <w:pPr>
        <w:jc w:val="center"/>
        <w:rPr>
          <w:rFonts w:ascii="Cambria" w:hAnsi="Cambria"/>
          <w:b/>
          <w:color w:val="2E74B5" w:themeColor="accent1" w:themeShade="BF"/>
        </w:rPr>
      </w:pPr>
    </w:p>
    <w:p w14:paraId="3B16BF38" w14:textId="77777777" w:rsidR="006C59D4" w:rsidRDefault="006C59D4" w:rsidP="006C59D4">
      <w:pPr>
        <w:jc w:val="center"/>
        <w:rPr>
          <w:rFonts w:ascii="Cambria" w:hAnsi="Cambria"/>
          <w:b/>
          <w:color w:val="2E74B5" w:themeColor="accent1" w:themeShade="BF"/>
        </w:rPr>
      </w:pPr>
      <w:r>
        <w:rPr>
          <w:rFonts w:ascii="Cambria" w:hAnsi="Cambria"/>
          <w:b/>
          <w:color w:val="2E74B5" w:themeColor="accent1" w:themeShade="BF"/>
        </w:rPr>
        <w:t>INVITATION FOR COMMENTS</w:t>
      </w:r>
    </w:p>
    <w:p w14:paraId="72B29BB6" w14:textId="77777777" w:rsidR="006C59D4" w:rsidRDefault="006C59D4" w:rsidP="006C59D4">
      <w:pPr>
        <w:jc w:val="both"/>
        <w:rPr>
          <w:rFonts w:ascii="Cambria" w:hAnsi="Cambria"/>
        </w:rPr>
      </w:pPr>
    </w:p>
    <w:p w14:paraId="5241E4DD" w14:textId="77777777" w:rsidR="00372C4A" w:rsidRDefault="00372C4A" w:rsidP="002866FA">
      <w:pPr>
        <w:pStyle w:val="NoSpacing"/>
        <w:numPr>
          <w:ilvl w:val="0"/>
          <w:numId w:val="21"/>
        </w:numPr>
        <w:ind w:left="426"/>
        <w:rPr>
          <w:rFonts w:ascii="Cambria" w:hAnsi="Cambria"/>
          <w:szCs w:val="24"/>
        </w:rPr>
      </w:pPr>
      <w:bookmarkStart w:id="3" w:name="_GoBack"/>
      <w:r w:rsidRPr="00372C4A">
        <w:rPr>
          <w:rFonts w:ascii="Cambria" w:hAnsi="Cambria"/>
        </w:rPr>
        <w:t>The</w:t>
      </w:r>
      <w:r w:rsidRPr="00372C4A">
        <w:rPr>
          <w:rStyle w:val="apple-converted-space"/>
          <w:rFonts w:ascii="Cambria" w:hAnsi="Cambria"/>
          <w:color w:val="000000"/>
        </w:rPr>
        <w:t> </w:t>
      </w:r>
      <w:r w:rsidRPr="00372C4A">
        <w:rPr>
          <w:rStyle w:val="Strong"/>
          <w:rFonts w:ascii="Cambria" w:hAnsi="Cambria"/>
          <w:b w:val="0"/>
          <w:bCs w:val="0"/>
          <w:color w:val="000000"/>
        </w:rPr>
        <w:t>National Communications Authority (NCA)</w:t>
      </w:r>
      <w:r w:rsidRPr="00372C4A">
        <w:rPr>
          <w:rStyle w:val="apple-converted-space"/>
          <w:rFonts w:ascii="Cambria" w:hAnsi="Cambria"/>
          <w:color w:val="000000"/>
        </w:rPr>
        <w:t> </w:t>
      </w:r>
      <w:r w:rsidRPr="00372C4A">
        <w:rPr>
          <w:rFonts w:ascii="Cambria" w:hAnsi="Cambria"/>
        </w:rPr>
        <w:t>intends to introduce a regulatory framework for the determination of</w:t>
      </w:r>
      <w:r w:rsidRPr="00372C4A">
        <w:rPr>
          <w:rStyle w:val="apple-converted-space"/>
          <w:rFonts w:ascii="Cambria" w:hAnsi="Cambria"/>
          <w:color w:val="000000"/>
        </w:rPr>
        <w:t> </w:t>
      </w:r>
      <w:r w:rsidRPr="00372C4A">
        <w:rPr>
          <w:rStyle w:val="Strong"/>
          <w:rFonts w:ascii="Cambria" w:hAnsi="Cambria"/>
          <w:b w:val="0"/>
          <w:bCs w:val="0"/>
          <w:color w:val="000000"/>
        </w:rPr>
        <w:t>national roaming wholesale rates</w:t>
      </w:r>
      <w:r w:rsidRPr="00372C4A">
        <w:rPr>
          <w:rStyle w:val="apple-converted-space"/>
          <w:rFonts w:ascii="Cambria" w:hAnsi="Cambria"/>
          <w:color w:val="000000"/>
        </w:rPr>
        <w:t> </w:t>
      </w:r>
      <w:r w:rsidRPr="00372C4A">
        <w:rPr>
          <w:rFonts w:ascii="Cambria" w:hAnsi="Cambria"/>
        </w:rPr>
        <w:t>to support the implementation of remedial measures arising from the</w:t>
      </w:r>
      <w:r w:rsidRPr="00372C4A">
        <w:rPr>
          <w:rStyle w:val="apple-converted-space"/>
          <w:rFonts w:ascii="Cambria" w:hAnsi="Cambria"/>
          <w:color w:val="000000"/>
        </w:rPr>
        <w:t> </w:t>
      </w:r>
      <w:r w:rsidRPr="00372C4A">
        <w:rPr>
          <w:rStyle w:val="Strong"/>
          <w:rFonts w:ascii="Cambria" w:hAnsi="Cambria"/>
          <w:b w:val="0"/>
          <w:bCs w:val="0"/>
          <w:color w:val="000000"/>
        </w:rPr>
        <w:t>Significant Market Power (SMP) declaration</w:t>
      </w:r>
      <w:r w:rsidRPr="00372C4A">
        <w:rPr>
          <w:rStyle w:val="apple-converted-space"/>
          <w:rFonts w:ascii="Cambria" w:hAnsi="Cambria"/>
          <w:color w:val="000000"/>
        </w:rPr>
        <w:t> </w:t>
      </w:r>
      <w:r w:rsidRPr="00372C4A">
        <w:rPr>
          <w:rFonts w:ascii="Cambria" w:hAnsi="Cambria"/>
        </w:rPr>
        <w:t>in the mobile telecommunications market.</w:t>
      </w:r>
    </w:p>
    <w:p w14:paraId="5F9A9851" w14:textId="7EDB7696" w:rsidR="00372C4A" w:rsidRDefault="00372C4A" w:rsidP="002866FA">
      <w:pPr>
        <w:pStyle w:val="NoSpacing"/>
        <w:numPr>
          <w:ilvl w:val="0"/>
          <w:numId w:val="21"/>
        </w:numPr>
        <w:ind w:left="426"/>
        <w:rPr>
          <w:rFonts w:ascii="Cambria" w:hAnsi="Cambria"/>
          <w:szCs w:val="24"/>
        </w:rPr>
      </w:pPr>
      <w:r w:rsidRPr="00372C4A">
        <w:rPr>
          <w:rFonts w:ascii="Cambria" w:hAnsi="Cambria"/>
        </w:rPr>
        <w:t xml:space="preserve">Accordingly, in pursuance of its mandate </w:t>
      </w:r>
      <w:r w:rsidR="00EB3DE7" w:rsidRPr="00BB1461">
        <w:rPr>
          <w:rFonts w:ascii="Cambria" w:hAnsi="Cambria"/>
          <w:szCs w:val="24"/>
        </w:rPr>
        <w:t xml:space="preserve">under Section 3 and Section 25 of the </w:t>
      </w:r>
      <w:r w:rsidR="00EB3DE7">
        <w:rPr>
          <w:rFonts w:ascii="Cambria" w:hAnsi="Cambria"/>
          <w:szCs w:val="24"/>
        </w:rPr>
        <w:t xml:space="preserve">National </w:t>
      </w:r>
      <w:r w:rsidR="00EB3DE7" w:rsidRPr="00BB1461">
        <w:rPr>
          <w:rFonts w:ascii="Cambria" w:hAnsi="Cambria"/>
          <w:szCs w:val="24"/>
        </w:rPr>
        <w:t xml:space="preserve">Communications </w:t>
      </w:r>
      <w:r w:rsidR="00EB3DE7">
        <w:rPr>
          <w:rFonts w:ascii="Cambria" w:hAnsi="Cambria"/>
          <w:szCs w:val="24"/>
        </w:rPr>
        <w:t>Authority Act, 2008 (Act 769</w:t>
      </w:r>
      <w:r w:rsidR="00EB3DE7" w:rsidRPr="00BB1461">
        <w:rPr>
          <w:rFonts w:ascii="Cambria" w:hAnsi="Cambria"/>
          <w:szCs w:val="24"/>
        </w:rPr>
        <w:t>)</w:t>
      </w:r>
      <w:r w:rsidRPr="00372C4A">
        <w:rPr>
          <w:rStyle w:val="apple-converted-space"/>
          <w:rFonts w:ascii="Cambria" w:hAnsi="Cambria"/>
          <w:b/>
          <w:bCs/>
          <w:color w:val="000000"/>
        </w:rPr>
        <w:t> </w:t>
      </w:r>
      <w:r w:rsidRPr="00372C4A">
        <w:rPr>
          <w:rFonts w:ascii="Cambria" w:hAnsi="Cambria"/>
        </w:rPr>
        <w:t>and</w:t>
      </w:r>
      <w:r w:rsidRPr="00372C4A">
        <w:rPr>
          <w:rStyle w:val="apple-converted-space"/>
          <w:rFonts w:ascii="Cambria" w:hAnsi="Cambria"/>
          <w:color w:val="000000"/>
        </w:rPr>
        <w:t> </w:t>
      </w:r>
      <w:r w:rsidRPr="00372C4A">
        <w:rPr>
          <w:rStyle w:val="Strong"/>
          <w:rFonts w:ascii="Cambria" w:hAnsi="Cambria"/>
          <w:b w:val="0"/>
          <w:bCs w:val="0"/>
          <w:color w:val="000000"/>
        </w:rPr>
        <w:t>Section 4.1 of the National Telecommunications Policy, 2005 (NTP’05)</w:t>
      </w:r>
      <w:r w:rsidRPr="00372C4A">
        <w:rPr>
          <w:rFonts w:ascii="Cambria" w:hAnsi="Cambria"/>
          <w:b/>
          <w:bCs/>
        </w:rPr>
        <w:t>,</w:t>
      </w:r>
      <w:r w:rsidRPr="00372C4A">
        <w:rPr>
          <w:rFonts w:ascii="Cambria" w:hAnsi="Cambria"/>
        </w:rPr>
        <w:t xml:space="preserve"> the Authority hereby invites views and comments from</w:t>
      </w:r>
      <w:r w:rsidRPr="00372C4A">
        <w:rPr>
          <w:rStyle w:val="apple-converted-space"/>
          <w:rFonts w:ascii="Cambria" w:hAnsi="Cambria"/>
          <w:color w:val="000000"/>
        </w:rPr>
        <w:t> </w:t>
      </w:r>
      <w:r w:rsidRPr="00372C4A">
        <w:rPr>
          <w:rStyle w:val="Strong"/>
          <w:rFonts w:ascii="Cambria" w:hAnsi="Cambria"/>
          <w:b w:val="0"/>
          <w:bCs w:val="0"/>
          <w:color w:val="000000"/>
        </w:rPr>
        <w:t>licensees, service providers, industry stakeholders and the general public</w:t>
      </w:r>
      <w:r w:rsidRPr="00372C4A">
        <w:rPr>
          <w:rStyle w:val="apple-converted-space"/>
          <w:rFonts w:ascii="Cambria" w:hAnsi="Cambria"/>
          <w:color w:val="000000"/>
        </w:rPr>
        <w:t> </w:t>
      </w:r>
      <w:r w:rsidRPr="00372C4A">
        <w:rPr>
          <w:rFonts w:ascii="Cambria" w:hAnsi="Cambria"/>
        </w:rPr>
        <w:t>on the proposal to introduce a</w:t>
      </w:r>
      <w:r w:rsidRPr="00372C4A">
        <w:rPr>
          <w:rStyle w:val="apple-converted-space"/>
          <w:rFonts w:ascii="Cambria" w:hAnsi="Cambria"/>
          <w:color w:val="000000"/>
        </w:rPr>
        <w:t> </w:t>
      </w:r>
      <w:r w:rsidRPr="00372C4A">
        <w:rPr>
          <w:rStyle w:val="Strong"/>
          <w:rFonts w:ascii="Cambria" w:hAnsi="Cambria"/>
          <w:b w:val="0"/>
          <w:bCs w:val="0"/>
          <w:color w:val="000000"/>
        </w:rPr>
        <w:t>regulator-led determination of wholesale rates for national roaming services</w:t>
      </w:r>
      <w:r w:rsidRPr="00372C4A">
        <w:rPr>
          <w:rFonts w:ascii="Cambria" w:hAnsi="Cambria"/>
          <w:b/>
          <w:bCs/>
        </w:rPr>
        <w:t>,</w:t>
      </w:r>
      <w:r w:rsidRPr="00372C4A">
        <w:rPr>
          <w:rFonts w:ascii="Cambria" w:hAnsi="Cambria"/>
        </w:rPr>
        <w:t xml:space="preserve"> which is intended to replace the current bilateral roaming arrangements between operators.</w:t>
      </w:r>
    </w:p>
    <w:p w14:paraId="24493CD9" w14:textId="77777777" w:rsidR="00372C4A" w:rsidRDefault="00372C4A" w:rsidP="002866FA">
      <w:pPr>
        <w:pStyle w:val="NoSpacing"/>
        <w:numPr>
          <w:ilvl w:val="0"/>
          <w:numId w:val="21"/>
        </w:numPr>
        <w:ind w:left="426"/>
        <w:rPr>
          <w:rFonts w:ascii="Cambria" w:hAnsi="Cambria"/>
          <w:szCs w:val="24"/>
        </w:rPr>
      </w:pPr>
      <w:r w:rsidRPr="00372C4A">
        <w:rPr>
          <w:rFonts w:ascii="Cambria" w:hAnsi="Cambria"/>
        </w:rPr>
        <w:t>The public consultation shall commence with immediate effect and will remain open for</w:t>
      </w:r>
      <w:r w:rsidRPr="00372C4A">
        <w:rPr>
          <w:rStyle w:val="apple-converted-space"/>
          <w:rFonts w:ascii="Cambria" w:hAnsi="Cambria"/>
          <w:color w:val="000000"/>
        </w:rPr>
        <w:t> </w:t>
      </w:r>
      <w:r w:rsidRPr="00372C4A">
        <w:rPr>
          <w:rStyle w:val="Strong"/>
          <w:rFonts w:ascii="Cambria" w:hAnsi="Cambria"/>
          <w:color w:val="000000"/>
        </w:rPr>
        <w:t>four (4) weeks</w:t>
      </w:r>
      <w:r w:rsidRPr="00372C4A">
        <w:rPr>
          <w:rFonts w:ascii="Cambria" w:hAnsi="Cambria"/>
        </w:rPr>
        <w:t>, expiring on</w:t>
      </w:r>
      <w:r w:rsidRPr="00372C4A">
        <w:rPr>
          <w:rStyle w:val="apple-converted-space"/>
          <w:rFonts w:ascii="Cambria" w:hAnsi="Cambria"/>
          <w:color w:val="000000"/>
        </w:rPr>
        <w:t> </w:t>
      </w:r>
      <w:r w:rsidRPr="00372C4A">
        <w:rPr>
          <w:rStyle w:val="Strong"/>
          <w:rFonts w:ascii="Cambria" w:hAnsi="Cambria"/>
          <w:color w:val="000000"/>
        </w:rPr>
        <w:t>3</w:t>
      </w:r>
      <w:r w:rsidRPr="00372C4A">
        <w:rPr>
          <w:rStyle w:val="Strong"/>
          <w:rFonts w:ascii="Cambria" w:hAnsi="Cambria"/>
          <w:color w:val="000000"/>
          <w:vertAlign w:val="superscript"/>
        </w:rPr>
        <w:t>rd</w:t>
      </w:r>
      <w:r w:rsidRPr="00372C4A">
        <w:rPr>
          <w:rStyle w:val="Strong"/>
          <w:rFonts w:ascii="Cambria" w:hAnsi="Cambria"/>
          <w:color w:val="000000"/>
        </w:rPr>
        <w:t xml:space="preserve"> April, 2026</w:t>
      </w:r>
      <w:r w:rsidRPr="00372C4A">
        <w:rPr>
          <w:rFonts w:ascii="Cambria" w:hAnsi="Cambria"/>
        </w:rPr>
        <w:t>.</w:t>
      </w:r>
    </w:p>
    <w:p w14:paraId="3E9C535C" w14:textId="77777777" w:rsidR="00372C4A" w:rsidRDefault="00372C4A" w:rsidP="002866FA">
      <w:pPr>
        <w:pStyle w:val="NoSpacing"/>
        <w:numPr>
          <w:ilvl w:val="0"/>
          <w:numId w:val="21"/>
        </w:numPr>
        <w:ind w:left="426"/>
        <w:rPr>
          <w:rFonts w:ascii="Cambria" w:hAnsi="Cambria"/>
          <w:szCs w:val="24"/>
        </w:rPr>
      </w:pPr>
      <w:r w:rsidRPr="00372C4A">
        <w:rPr>
          <w:rFonts w:ascii="Cambria" w:hAnsi="Cambria"/>
        </w:rPr>
        <w:t>All responses and comments should be submitted electronically as</w:t>
      </w:r>
      <w:r w:rsidRPr="00372C4A">
        <w:rPr>
          <w:rStyle w:val="apple-converted-space"/>
          <w:rFonts w:ascii="Cambria" w:hAnsi="Cambria"/>
          <w:color w:val="000000"/>
        </w:rPr>
        <w:t> </w:t>
      </w:r>
      <w:r w:rsidRPr="00372C4A">
        <w:rPr>
          <w:rStyle w:val="Strong"/>
          <w:rFonts w:ascii="Cambria" w:hAnsi="Cambria"/>
          <w:b w:val="0"/>
          <w:bCs w:val="0"/>
          <w:color w:val="000000"/>
        </w:rPr>
        <w:t xml:space="preserve">email attachments in Microsoft Word format </w:t>
      </w:r>
      <w:r w:rsidRPr="00372C4A">
        <w:rPr>
          <w:rFonts w:ascii="Cambria" w:hAnsi="Cambria"/>
        </w:rPr>
        <w:t>to</w:t>
      </w:r>
      <w:r w:rsidRPr="00372C4A">
        <w:rPr>
          <w:rStyle w:val="apple-converted-space"/>
          <w:rFonts w:ascii="Cambria" w:hAnsi="Cambria"/>
          <w:color w:val="000000"/>
        </w:rPr>
        <w:t> </w:t>
      </w:r>
      <w:hyperlink r:id="rId17" w:history="1">
        <w:r w:rsidRPr="00372C4A">
          <w:rPr>
            <w:rStyle w:val="Hyperlink"/>
            <w:rFonts w:ascii="Cambria" w:hAnsi="Cambria"/>
          </w:rPr>
          <w:t>nroamingresponse@nca.org.gh</w:t>
        </w:r>
      </w:hyperlink>
      <w:r w:rsidRPr="00372C4A">
        <w:rPr>
          <w:rFonts w:ascii="Cambria" w:hAnsi="Cambria"/>
        </w:rPr>
        <w:t>, with a copy to</w:t>
      </w:r>
      <w:r w:rsidRPr="00372C4A">
        <w:rPr>
          <w:rStyle w:val="apple-converted-space"/>
          <w:rFonts w:ascii="Cambria" w:hAnsi="Cambria"/>
          <w:color w:val="000000"/>
        </w:rPr>
        <w:t> </w:t>
      </w:r>
      <w:hyperlink r:id="rId18" w:history="1">
        <w:r w:rsidRPr="00372C4A">
          <w:rPr>
            <w:rStyle w:val="Hyperlink"/>
            <w:rFonts w:ascii="Cambria" w:hAnsi="Cambria"/>
          </w:rPr>
          <w:t>dgsecretariat@nca.org.gh</w:t>
        </w:r>
      </w:hyperlink>
      <w:r w:rsidRPr="00372C4A">
        <w:rPr>
          <w:rFonts w:ascii="Cambria" w:hAnsi="Cambria"/>
        </w:rPr>
        <w:t xml:space="preserve">. </w:t>
      </w:r>
    </w:p>
    <w:p w14:paraId="770573F5" w14:textId="77777777" w:rsidR="00372C4A" w:rsidRDefault="00372C4A" w:rsidP="002866FA">
      <w:pPr>
        <w:pStyle w:val="NoSpacing"/>
        <w:numPr>
          <w:ilvl w:val="0"/>
          <w:numId w:val="21"/>
        </w:numPr>
        <w:ind w:left="426"/>
        <w:rPr>
          <w:rFonts w:ascii="Cambria" w:hAnsi="Cambria"/>
          <w:szCs w:val="24"/>
        </w:rPr>
      </w:pPr>
      <w:r w:rsidRPr="00372C4A">
        <w:rPr>
          <w:rFonts w:ascii="Cambria" w:hAnsi="Cambria"/>
        </w:rPr>
        <w:t>Respondents are requested to use the</w:t>
      </w:r>
      <w:r w:rsidRPr="00372C4A">
        <w:rPr>
          <w:rStyle w:val="apple-converted-space"/>
          <w:rFonts w:ascii="Cambria" w:hAnsi="Cambria"/>
          <w:color w:val="000000"/>
        </w:rPr>
        <w:t> </w:t>
      </w:r>
      <w:r w:rsidRPr="00372C4A">
        <w:rPr>
          <w:rStyle w:val="Strong"/>
          <w:rFonts w:ascii="Cambria" w:hAnsi="Cambria"/>
          <w:color w:val="000000"/>
        </w:rPr>
        <w:t>consultation response template</w:t>
      </w:r>
      <w:r w:rsidRPr="00372C4A">
        <w:rPr>
          <w:rStyle w:val="apple-converted-space"/>
          <w:rFonts w:ascii="Cambria" w:hAnsi="Cambria"/>
          <w:color w:val="000000"/>
        </w:rPr>
        <w:t> </w:t>
      </w:r>
      <w:r w:rsidRPr="00372C4A">
        <w:rPr>
          <w:rFonts w:ascii="Cambria" w:hAnsi="Cambria"/>
        </w:rPr>
        <w:t>annexed to this document when preparing their submissions.</w:t>
      </w:r>
    </w:p>
    <w:p w14:paraId="6B9F889C" w14:textId="77777777" w:rsidR="00372C4A" w:rsidRPr="00372C4A" w:rsidRDefault="00372C4A" w:rsidP="002866FA">
      <w:pPr>
        <w:pStyle w:val="NoSpacing"/>
        <w:numPr>
          <w:ilvl w:val="0"/>
          <w:numId w:val="21"/>
        </w:numPr>
        <w:ind w:left="426"/>
        <w:rPr>
          <w:rFonts w:ascii="Cambria" w:hAnsi="Cambria"/>
          <w:szCs w:val="24"/>
        </w:rPr>
      </w:pPr>
      <w:r w:rsidRPr="00372C4A">
        <w:rPr>
          <w:rFonts w:ascii="Cambria" w:hAnsi="Cambria"/>
        </w:rPr>
        <w:t>It would be helpful if responses clearly indicate the</w:t>
      </w:r>
      <w:r w:rsidRPr="00372C4A">
        <w:rPr>
          <w:rStyle w:val="apple-converted-space"/>
          <w:rFonts w:ascii="Cambria" w:hAnsi="Cambria"/>
          <w:color w:val="000000"/>
        </w:rPr>
        <w:t> </w:t>
      </w:r>
      <w:r w:rsidRPr="00372C4A">
        <w:rPr>
          <w:rStyle w:val="Strong"/>
          <w:rFonts w:ascii="Cambria" w:hAnsi="Cambria"/>
          <w:color w:val="000000"/>
        </w:rPr>
        <w:t>sections of the consultation document with which respondents agree or disagree</w:t>
      </w:r>
      <w:r w:rsidRPr="00372C4A">
        <w:rPr>
          <w:rFonts w:ascii="Cambria" w:hAnsi="Cambria"/>
        </w:rPr>
        <w:t>, together with supporting explanations or evidence where appropriate.</w:t>
      </w:r>
    </w:p>
    <w:bookmarkEnd w:id="3"/>
    <w:p w14:paraId="1C469706" w14:textId="7892373D" w:rsidR="00372C4A" w:rsidRDefault="00372C4A" w:rsidP="00372C4A">
      <w:pPr>
        <w:pStyle w:val="NoSpacing"/>
        <w:ind w:left="426"/>
        <w:rPr>
          <w:rFonts w:ascii="Cambria" w:hAnsi="Cambria"/>
        </w:rPr>
      </w:pPr>
    </w:p>
    <w:p w14:paraId="5FE93B59" w14:textId="50D75768" w:rsidR="00372C4A" w:rsidRPr="00372C4A" w:rsidRDefault="00372C4A" w:rsidP="00372C4A">
      <w:pPr>
        <w:pStyle w:val="NoSpacing"/>
        <w:ind w:left="426"/>
        <w:rPr>
          <w:rFonts w:ascii="Cambria" w:hAnsi="Cambria"/>
          <w:b/>
          <w:bCs/>
        </w:rPr>
      </w:pPr>
      <w:r w:rsidRPr="00372C4A">
        <w:rPr>
          <w:rFonts w:ascii="Cambria" w:hAnsi="Cambria"/>
          <w:b/>
          <w:bCs/>
        </w:rPr>
        <w:t>Confidentiality</w:t>
      </w:r>
    </w:p>
    <w:p w14:paraId="1A93E6E4" w14:textId="77777777" w:rsidR="00372C4A" w:rsidRDefault="00372C4A" w:rsidP="002866FA">
      <w:pPr>
        <w:pStyle w:val="NoSpacing"/>
        <w:numPr>
          <w:ilvl w:val="0"/>
          <w:numId w:val="21"/>
        </w:numPr>
        <w:ind w:left="426"/>
        <w:rPr>
          <w:rFonts w:ascii="Cambria" w:hAnsi="Cambria"/>
          <w:szCs w:val="24"/>
        </w:rPr>
      </w:pPr>
      <w:r w:rsidRPr="00372C4A">
        <w:rPr>
          <w:rFonts w:ascii="Cambria" w:hAnsi="Cambria"/>
        </w:rPr>
        <w:t>In the interest of</w:t>
      </w:r>
      <w:r w:rsidRPr="00372C4A">
        <w:rPr>
          <w:rStyle w:val="apple-converted-space"/>
          <w:rFonts w:ascii="Cambria" w:hAnsi="Cambria"/>
          <w:color w:val="000000"/>
        </w:rPr>
        <w:t> </w:t>
      </w:r>
      <w:r w:rsidRPr="00372C4A">
        <w:rPr>
          <w:rStyle w:val="Strong"/>
          <w:rFonts w:ascii="Cambria" w:hAnsi="Cambria"/>
          <w:b w:val="0"/>
          <w:bCs w:val="0"/>
          <w:color w:val="000000"/>
        </w:rPr>
        <w:t>transparency and openness</w:t>
      </w:r>
      <w:r w:rsidRPr="00372C4A">
        <w:rPr>
          <w:rFonts w:ascii="Cambria" w:hAnsi="Cambria"/>
        </w:rPr>
        <w:t>, the Authority will treat all submissions as</w:t>
      </w:r>
      <w:r w:rsidRPr="00372C4A">
        <w:rPr>
          <w:rStyle w:val="apple-converted-space"/>
          <w:rFonts w:ascii="Cambria" w:hAnsi="Cambria"/>
          <w:color w:val="000000"/>
        </w:rPr>
        <w:t> </w:t>
      </w:r>
      <w:r w:rsidRPr="00372C4A">
        <w:rPr>
          <w:rStyle w:val="Strong"/>
          <w:rFonts w:ascii="Cambria" w:hAnsi="Cambria"/>
          <w:b w:val="0"/>
          <w:bCs w:val="0"/>
          <w:color w:val="000000"/>
        </w:rPr>
        <w:t>non-confidential</w:t>
      </w:r>
      <w:r w:rsidRPr="00372C4A">
        <w:rPr>
          <w:rStyle w:val="apple-converted-space"/>
          <w:rFonts w:ascii="Cambria" w:hAnsi="Cambria"/>
          <w:color w:val="000000"/>
        </w:rPr>
        <w:t> </w:t>
      </w:r>
      <w:r w:rsidRPr="00372C4A">
        <w:rPr>
          <w:rFonts w:ascii="Cambria" w:hAnsi="Cambria"/>
        </w:rPr>
        <w:t>and may publish responses received as part of this consultation on its website at</w:t>
      </w:r>
      <w:r w:rsidRPr="00372C4A">
        <w:rPr>
          <w:rStyle w:val="apple-converted-space"/>
          <w:rFonts w:ascii="Cambria" w:hAnsi="Cambria"/>
          <w:color w:val="000000"/>
        </w:rPr>
        <w:t> </w:t>
      </w:r>
      <w:hyperlink r:id="rId19" w:tgtFrame="_new" w:history="1">
        <w:r w:rsidRPr="00372C4A">
          <w:rPr>
            <w:rStyle w:val="Hyperlink"/>
            <w:rFonts w:ascii="Cambria" w:hAnsi="Cambria"/>
            <w:b/>
            <w:bCs/>
          </w:rPr>
          <w:t>www.nca.org.gh</w:t>
        </w:r>
      </w:hyperlink>
      <w:r w:rsidRPr="00372C4A">
        <w:rPr>
          <w:rFonts w:ascii="Cambria" w:hAnsi="Cambria"/>
        </w:rPr>
        <w:t>.</w:t>
      </w:r>
    </w:p>
    <w:p w14:paraId="66BC0007" w14:textId="77777777" w:rsidR="00372C4A" w:rsidRDefault="00372C4A" w:rsidP="002866FA">
      <w:pPr>
        <w:pStyle w:val="NoSpacing"/>
        <w:numPr>
          <w:ilvl w:val="0"/>
          <w:numId w:val="21"/>
        </w:numPr>
        <w:ind w:left="426"/>
        <w:rPr>
          <w:rFonts w:ascii="Cambria" w:hAnsi="Cambria"/>
          <w:szCs w:val="24"/>
        </w:rPr>
      </w:pPr>
      <w:r w:rsidRPr="00372C4A">
        <w:rPr>
          <w:rFonts w:ascii="Cambria" w:hAnsi="Cambria"/>
        </w:rPr>
        <w:t>Respondents should therefore avoid including confidential or commercially sensitive information in their submissions. Where confidentiality is claimed for specific information, respondents should clearly identify such information and provide a</w:t>
      </w:r>
      <w:r w:rsidRPr="00372C4A">
        <w:rPr>
          <w:rStyle w:val="apple-converted-space"/>
          <w:rFonts w:ascii="Cambria" w:hAnsi="Cambria"/>
          <w:color w:val="000000"/>
        </w:rPr>
        <w:t> </w:t>
      </w:r>
      <w:r w:rsidRPr="00372C4A">
        <w:rPr>
          <w:rStyle w:val="Strong"/>
          <w:rFonts w:ascii="Cambria" w:hAnsi="Cambria"/>
          <w:b w:val="0"/>
          <w:bCs w:val="0"/>
          <w:color w:val="000000"/>
        </w:rPr>
        <w:t>non-confidential summary where possible</w:t>
      </w:r>
      <w:r w:rsidRPr="00372C4A">
        <w:rPr>
          <w:rFonts w:ascii="Cambria" w:hAnsi="Cambria"/>
          <w:b/>
          <w:bCs/>
        </w:rPr>
        <w:t>.</w:t>
      </w:r>
    </w:p>
    <w:p w14:paraId="56234748" w14:textId="77777777" w:rsidR="00372C4A" w:rsidRPr="00372C4A" w:rsidRDefault="00372C4A" w:rsidP="002866FA">
      <w:pPr>
        <w:pStyle w:val="NoSpacing"/>
        <w:numPr>
          <w:ilvl w:val="0"/>
          <w:numId w:val="21"/>
        </w:numPr>
        <w:ind w:left="426"/>
        <w:rPr>
          <w:rFonts w:ascii="Cambria" w:hAnsi="Cambria"/>
          <w:szCs w:val="24"/>
        </w:rPr>
      </w:pPr>
      <w:r w:rsidRPr="00372C4A">
        <w:rPr>
          <w:rFonts w:ascii="Cambria" w:hAnsi="Cambria"/>
        </w:rPr>
        <w:t>Copyright and all other intellectual property rights in submissions received in response to this consultation shall be deemed to be</w:t>
      </w:r>
      <w:r w:rsidRPr="00372C4A">
        <w:rPr>
          <w:rStyle w:val="apple-converted-space"/>
          <w:rFonts w:ascii="Cambria" w:hAnsi="Cambria"/>
          <w:color w:val="000000"/>
        </w:rPr>
        <w:t> </w:t>
      </w:r>
      <w:r w:rsidRPr="00372C4A">
        <w:rPr>
          <w:rStyle w:val="Strong"/>
          <w:rFonts w:ascii="Cambria" w:hAnsi="Cambria"/>
          <w:b w:val="0"/>
          <w:bCs w:val="0"/>
          <w:color w:val="000000"/>
        </w:rPr>
        <w:t>licensed to the Authority</w:t>
      </w:r>
      <w:r w:rsidRPr="00372C4A">
        <w:rPr>
          <w:rStyle w:val="apple-converted-space"/>
          <w:rFonts w:ascii="Cambria" w:hAnsi="Cambria"/>
          <w:color w:val="000000"/>
        </w:rPr>
        <w:t> </w:t>
      </w:r>
      <w:r w:rsidRPr="00372C4A">
        <w:rPr>
          <w:rFonts w:ascii="Cambria" w:hAnsi="Cambria"/>
        </w:rPr>
        <w:t>for the purposes of fulfilling its statutory and regulatory responsibilities.</w:t>
      </w:r>
    </w:p>
    <w:p w14:paraId="1E045CB0" w14:textId="77777777" w:rsidR="00372C4A" w:rsidRDefault="00372C4A" w:rsidP="00372C4A">
      <w:pPr>
        <w:pStyle w:val="NoSpacing"/>
        <w:ind w:left="426"/>
        <w:rPr>
          <w:rFonts w:ascii="Cambria" w:hAnsi="Cambria"/>
        </w:rPr>
      </w:pPr>
    </w:p>
    <w:p w14:paraId="32CF134D" w14:textId="02FDEEC2" w:rsidR="00372C4A" w:rsidRPr="00372C4A" w:rsidRDefault="00372C4A" w:rsidP="00372C4A">
      <w:pPr>
        <w:pStyle w:val="NoSpacing"/>
        <w:ind w:left="426"/>
        <w:rPr>
          <w:rFonts w:ascii="Cambria" w:hAnsi="Cambria"/>
          <w:b/>
          <w:bCs/>
        </w:rPr>
      </w:pPr>
      <w:r w:rsidRPr="00372C4A">
        <w:rPr>
          <w:rFonts w:ascii="Cambria" w:hAnsi="Cambria"/>
          <w:b/>
          <w:bCs/>
        </w:rPr>
        <w:t>Next Steps</w:t>
      </w:r>
    </w:p>
    <w:p w14:paraId="22337A8C" w14:textId="6BB6929B" w:rsidR="00372C4A" w:rsidRPr="00FE2635" w:rsidRDefault="00372C4A" w:rsidP="002866FA">
      <w:pPr>
        <w:pStyle w:val="NoSpacing"/>
        <w:numPr>
          <w:ilvl w:val="0"/>
          <w:numId w:val="21"/>
        </w:numPr>
        <w:ind w:left="426"/>
        <w:rPr>
          <w:rFonts w:ascii="Cambria" w:hAnsi="Cambria"/>
          <w:b/>
          <w:bCs/>
          <w:szCs w:val="24"/>
        </w:rPr>
      </w:pPr>
      <w:r w:rsidRPr="00372C4A">
        <w:rPr>
          <w:rFonts w:ascii="Cambria" w:hAnsi="Cambria"/>
        </w:rPr>
        <w:t>Following the conclusion of the consultation period, the Authority will review all submissions received and may engage stakeholders where necessary before issuing the</w:t>
      </w:r>
      <w:r w:rsidRPr="00372C4A">
        <w:rPr>
          <w:rStyle w:val="apple-converted-space"/>
          <w:rFonts w:ascii="Cambria" w:hAnsi="Cambria"/>
          <w:color w:val="000000"/>
        </w:rPr>
        <w:t> </w:t>
      </w:r>
      <w:r w:rsidRPr="00FE2635">
        <w:rPr>
          <w:rStyle w:val="Strong"/>
          <w:rFonts w:ascii="Cambria" w:hAnsi="Cambria"/>
          <w:b w:val="0"/>
          <w:bCs w:val="0"/>
          <w:color w:val="000000"/>
        </w:rPr>
        <w:t>final regulatory framework for national roaming wholesale rates</w:t>
      </w:r>
      <w:r w:rsidRPr="00FE2635">
        <w:rPr>
          <w:rFonts w:ascii="Cambria" w:hAnsi="Cambria"/>
          <w:b/>
          <w:bCs/>
        </w:rPr>
        <w:t>.</w:t>
      </w:r>
    </w:p>
    <w:p w14:paraId="54AE8A6A" w14:textId="77777777" w:rsidR="00FE2635" w:rsidRDefault="00FE2635" w:rsidP="00FE2635">
      <w:pPr>
        <w:pStyle w:val="NoSpacing"/>
        <w:rPr>
          <w:rFonts w:ascii="Cambria" w:hAnsi="Cambria"/>
          <w:b/>
          <w:bCs/>
        </w:rPr>
      </w:pPr>
    </w:p>
    <w:p w14:paraId="5B3BABA8" w14:textId="7F0DEF9E" w:rsidR="00372C4A" w:rsidRPr="00FE2635" w:rsidRDefault="00372C4A" w:rsidP="00FE2635">
      <w:pPr>
        <w:pStyle w:val="NoSpacing"/>
        <w:rPr>
          <w:rFonts w:ascii="Cambria" w:hAnsi="Cambria"/>
        </w:rPr>
      </w:pPr>
      <w:r w:rsidRPr="00FE2635">
        <w:rPr>
          <w:rFonts w:ascii="Cambria" w:hAnsi="Cambria"/>
          <w:b/>
          <w:bCs/>
        </w:rPr>
        <w:t>Issued by the Director General</w:t>
      </w:r>
      <w:r w:rsidRPr="00FE2635">
        <w:rPr>
          <w:rFonts w:ascii="Cambria" w:hAnsi="Cambria"/>
        </w:rPr>
        <w:br/>
        <w:t>National Communications Authority</w:t>
      </w:r>
    </w:p>
    <w:p w14:paraId="1B354185" w14:textId="06F1B91C" w:rsidR="00372C4A" w:rsidRPr="00FE2635" w:rsidRDefault="00FE2635" w:rsidP="00FE2635">
      <w:pPr>
        <w:pStyle w:val="NoSpacing"/>
        <w:rPr>
          <w:rFonts w:ascii="Cambria" w:hAnsi="Cambria"/>
        </w:rPr>
      </w:pPr>
      <w:r w:rsidRPr="00FE2635">
        <w:rPr>
          <w:rFonts w:ascii="Cambria" w:hAnsi="Cambria"/>
        </w:rPr>
        <w:t>9th March,</w:t>
      </w:r>
      <w:r w:rsidR="00372C4A" w:rsidRPr="00FE2635">
        <w:rPr>
          <w:rFonts w:ascii="Cambria" w:hAnsi="Cambria"/>
        </w:rPr>
        <w:t xml:space="preserve"> 2026</w:t>
      </w:r>
    </w:p>
    <w:p w14:paraId="278C03A5" w14:textId="77777777" w:rsidR="006C59D4" w:rsidRDefault="006C59D4">
      <w:pPr>
        <w:rPr>
          <w:rFonts w:ascii="Cambria" w:eastAsiaTheme="majorEastAsia" w:hAnsi="Cambria" w:cstheme="majorBidi"/>
          <w:b/>
          <w:bCs/>
          <w:color w:val="2E74B5" w:themeColor="accent1" w:themeShade="BF"/>
          <w:sz w:val="28"/>
          <w:szCs w:val="28"/>
          <w:lang w:val="en-CA" w:eastAsia="en-US"/>
        </w:rPr>
      </w:pPr>
      <w:r>
        <w:rPr>
          <w:rFonts w:ascii="Cambria" w:hAnsi="Cambria"/>
          <w:b/>
          <w:bCs/>
          <w:sz w:val="28"/>
          <w:szCs w:val="28"/>
        </w:rPr>
        <w:br w:type="page"/>
      </w:r>
    </w:p>
    <w:p w14:paraId="02FE3ECE" w14:textId="58EA1748" w:rsidR="00B636E9" w:rsidRPr="00A5156C" w:rsidRDefault="00B636E9" w:rsidP="00A5156C">
      <w:pPr>
        <w:pStyle w:val="Heading1"/>
        <w:jc w:val="center"/>
        <w:rPr>
          <w:rFonts w:ascii="Cambria" w:hAnsi="Cambria"/>
          <w:b/>
          <w:bCs/>
          <w:sz w:val="28"/>
          <w:szCs w:val="28"/>
        </w:rPr>
      </w:pPr>
      <w:bookmarkStart w:id="4" w:name="_Toc223979925"/>
      <w:r w:rsidRPr="00A5156C">
        <w:rPr>
          <w:rFonts w:ascii="Cambria" w:hAnsi="Cambria"/>
          <w:b/>
          <w:bCs/>
          <w:sz w:val="28"/>
          <w:szCs w:val="28"/>
        </w:rPr>
        <w:lastRenderedPageBreak/>
        <w:t>EXECUTIVE SUMMARY</w:t>
      </w:r>
      <w:bookmarkEnd w:id="4"/>
    </w:p>
    <w:p w14:paraId="6EBC20DA" w14:textId="77777777" w:rsidR="00B636E9" w:rsidRPr="00B636E9" w:rsidRDefault="00B636E9" w:rsidP="00B636E9">
      <w:pPr>
        <w:pStyle w:val="NoSpacing"/>
        <w:rPr>
          <w:rFonts w:ascii="Cambria" w:hAnsi="Cambria"/>
        </w:rPr>
      </w:pPr>
      <w:r w:rsidRPr="00B636E9">
        <w:rPr>
          <w:rFonts w:ascii="Cambria" w:hAnsi="Cambria"/>
        </w:rPr>
        <w:t>The National Communications Authority (NCA) is responsible for regulating the electronic communications sector in Ghana in accordance with the</w:t>
      </w:r>
      <w:r w:rsidRPr="00B636E9">
        <w:rPr>
          <w:rStyle w:val="apple-converted-space"/>
          <w:rFonts w:ascii="Cambria" w:hAnsi="Cambria"/>
          <w:color w:val="000000"/>
        </w:rPr>
        <w:t> </w:t>
      </w:r>
      <w:r w:rsidRPr="00B636E9">
        <w:rPr>
          <w:rStyle w:val="Strong"/>
          <w:rFonts w:ascii="Cambria" w:hAnsi="Cambria"/>
          <w:b w:val="0"/>
          <w:bCs w:val="0"/>
          <w:color w:val="000000"/>
        </w:rPr>
        <w:t>Electronic Communications Act, 2008 (Act 775)</w:t>
      </w:r>
      <w:r w:rsidRPr="00B636E9">
        <w:rPr>
          <w:rFonts w:ascii="Cambria" w:hAnsi="Cambria"/>
        </w:rPr>
        <w:t>. In carrying out its mandate, the Authority seeks to promote fair competition, protect consumer interests and ensure the efficient use of telecommunications infrastructure.</w:t>
      </w:r>
    </w:p>
    <w:p w14:paraId="7A8A7DEC" w14:textId="77777777" w:rsidR="00B636E9" w:rsidRDefault="00B636E9" w:rsidP="00B636E9">
      <w:pPr>
        <w:pStyle w:val="NoSpacing"/>
        <w:rPr>
          <w:rFonts w:ascii="Cambria" w:hAnsi="Cambria"/>
        </w:rPr>
      </w:pPr>
    </w:p>
    <w:p w14:paraId="424537FE" w14:textId="077A5138" w:rsidR="00B636E9" w:rsidRPr="00B636E9" w:rsidRDefault="00B636E9" w:rsidP="00B636E9">
      <w:pPr>
        <w:pStyle w:val="NoSpacing"/>
        <w:rPr>
          <w:rFonts w:ascii="Cambria" w:hAnsi="Cambria"/>
        </w:rPr>
      </w:pPr>
      <w:r w:rsidRPr="00B636E9">
        <w:rPr>
          <w:rFonts w:ascii="Cambria" w:hAnsi="Cambria"/>
        </w:rPr>
        <w:t>In June 2020, the Authority declared</w:t>
      </w:r>
      <w:r w:rsidRPr="00B636E9">
        <w:rPr>
          <w:rStyle w:val="apple-converted-space"/>
          <w:rFonts w:ascii="Cambria" w:hAnsi="Cambria"/>
          <w:color w:val="000000"/>
        </w:rPr>
        <w:t> </w:t>
      </w:r>
      <w:r w:rsidRPr="00B636E9">
        <w:rPr>
          <w:rStyle w:val="Strong"/>
          <w:rFonts w:ascii="Cambria" w:hAnsi="Cambria"/>
          <w:b w:val="0"/>
          <w:bCs w:val="0"/>
          <w:color w:val="000000"/>
        </w:rPr>
        <w:t>MTN Ghana as having Significant Market Power (SMP)</w:t>
      </w:r>
      <w:r w:rsidRPr="00B636E9">
        <w:rPr>
          <w:rStyle w:val="apple-converted-space"/>
          <w:rFonts w:ascii="Cambria" w:hAnsi="Cambria"/>
          <w:color w:val="000000"/>
        </w:rPr>
        <w:t> </w:t>
      </w:r>
      <w:r w:rsidRPr="00B636E9">
        <w:rPr>
          <w:rFonts w:ascii="Cambria" w:hAnsi="Cambria"/>
        </w:rPr>
        <w:t>in the mobile telecommunications market. As part of the remedies introduced following the SMP declaration, the Authority mandated</w:t>
      </w:r>
      <w:r w:rsidRPr="00B636E9">
        <w:rPr>
          <w:rStyle w:val="apple-converted-space"/>
          <w:rFonts w:ascii="Cambria" w:hAnsi="Cambria"/>
          <w:color w:val="000000"/>
        </w:rPr>
        <w:t> </w:t>
      </w:r>
      <w:r w:rsidRPr="00B636E9">
        <w:rPr>
          <w:rStyle w:val="Strong"/>
          <w:rFonts w:ascii="Cambria" w:hAnsi="Cambria"/>
          <w:b w:val="0"/>
          <w:bCs w:val="0"/>
          <w:color w:val="000000"/>
        </w:rPr>
        <w:t>national roaming arrangements</w:t>
      </w:r>
      <w:r w:rsidRPr="00B636E9">
        <w:rPr>
          <w:rStyle w:val="apple-converted-space"/>
          <w:rFonts w:ascii="Cambria" w:hAnsi="Cambria"/>
          <w:color w:val="000000"/>
        </w:rPr>
        <w:t> </w:t>
      </w:r>
      <w:r w:rsidRPr="00B636E9">
        <w:rPr>
          <w:rFonts w:ascii="Cambria" w:hAnsi="Cambria"/>
        </w:rPr>
        <w:t>among mobile network operators to address coverage disparities and enhance competition.</w:t>
      </w:r>
    </w:p>
    <w:p w14:paraId="6205D1D0" w14:textId="77777777" w:rsidR="00B636E9" w:rsidRDefault="00B636E9" w:rsidP="00B636E9">
      <w:pPr>
        <w:pStyle w:val="NoSpacing"/>
        <w:rPr>
          <w:rFonts w:ascii="Cambria" w:hAnsi="Cambria"/>
        </w:rPr>
      </w:pPr>
    </w:p>
    <w:p w14:paraId="7481F226" w14:textId="2E0DC9DC" w:rsidR="00B636E9" w:rsidRPr="00B636E9" w:rsidRDefault="00B636E9" w:rsidP="00B636E9">
      <w:pPr>
        <w:pStyle w:val="NoSpacing"/>
        <w:rPr>
          <w:rFonts w:ascii="Cambria" w:hAnsi="Cambria"/>
        </w:rPr>
      </w:pPr>
      <w:r w:rsidRPr="00B636E9">
        <w:rPr>
          <w:rFonts w:ascii="Cambria" w:hAnsi="Cambria"/>
        </w:rPr>
        <w:t>National roaming enables subscribers of one mobile network operator to access telecommunications services on another operator’s network within the same national territory. This arrangement allows operators with limited network coverage to provide service to their customers in areas where they have not yet deployed infrastructure.</w:t>
      </w:r>
    </w:p>
    <w:p w14:paraId="384DD632" w14:textId="77777777" w:rsidR="00B636E9" w:rsidRDefault="00B636E9" w:rsidP="00B636E9">
      <w:pPr>
        <w:pStyle w:val="NoSpacing"/>
        <w:rPr>
          <w:rFonts w:ascii="Cambria" w:hAnsi="Cambria"/>
        </w:rPr>
      </w:pPr>
    </w:p>
    <w:p w14:paraId="383384B5" w14:textId="144F110D" w:rsidR="00B636E9" w:rsidRPr="00B636E9" w:rsidRDefault="00B636E9" w:rsidP="00B636E9">
      <w:pPr>
        <w:pStyle w:val="NoSpacing"/>
        <w:rPr>
          <w:rFonts w:ascii="Cambria" w:hAnsi="Cambria"/>
        </w:rPr>
      </w:pPr>
      <w:r w:rsidRPr="00B636E9">
        <w:rPr>
          <w:rFonts w:ascii="Cambria" w:hAnsi="Cambria"/>
        </w:rPr>
        <w:t>Implementation of national roaming arrangements commenced</w:t>
      </w:r>
      <w:r w:rsidRPr="00A5156C">
        <w:rPr>
          <w:rFonts w:ascii="Cambria" w:hAnsi="Cambria"/>
        </w:rPr>
        <w:t xml:space="preserve"> in</w:t>
      </w:r>
      <w:r w:rsidRPr="00B636E9">
        <w:rPr>
          <w:rStyle w:val="apple-converted-space"/>
          <w:rFonts w:ascii="Cambria" w:hAnsi="Cambria"/>
          <w:b/>
          <w:bCs/>
          <w:color w:val="000000"/>
        </w:rPr>
        <w:t> </w:t>
      </w:r>
      <w:r w:rsidRPr="00B636E9">
        <w:rPr>
          <w:rStyle w:val="Strong"/>
          <w:rFonts w:ascii="Cambria" w:hAnsi="Cambria"/>
          <w:b w:val="0"/>
          <w:bCs w:val="0"/>
          <w:color w:val="000000"/>
        </w:rPr>
        <w:t>2022 through bilateral commercial agreements between operators</w:t>
      </w:r>
      <w:r w:rsidRPr="00B636E9">
        <w:rPr>
          <w:rFonts w:ascii="Cambria" w:hAnsi="Cambria"/>
          <w:b/>
          <w:bCs/>
        </w:rPr>
        <w:t>.</w:t>
      </w:r>
      <w:r w:rsidRPr="00B636E9">
        <w:rPr>
          <w:rFonts w:ascii="Cambria" w:hAnsi="Cambria"/>
        </w:rPr>
        <w:t xml:space="preserve"> While these arrangements have facilitated service continuity and improved network interoperability, concerns have been raised regarding:</w:t>
      </w:r>
    </w:p>
    <w:p w14:paraId="2B76D29F" w14:textId="77777777" w:rsidR="00B636E9" w:rsidRPr="00B636E9" w:rsidRDefault="00B636E9" w:rsidP="002866FA">
      <w:pPr>
        <w:pStyle w:val="NoSpacing"/>
        <w:numPr>
          <w:ilvl w:val="0"/>
          <w:numId w:val="4"/>
        </w:numPr>
        <w:rPr>
          <w:rFonts w:ascii="Cambria" w:hAnsi="Cambria"/>
        </w:rPr>
      </w:pPr>
      <w:r w:rsidRPr="00B636E9">
        <w:rPr>
          <w:rFonts w:ascii="Cambria" w:hAnsi="Cambria"/>
        </w:rPr>
        <w:t>the level of wholesale roaming charges</w:t>
      </w:r>
    </w:p>
    <w:p w14:paraId="087AE074" w14:textId="77777777" w:rsidR="00B636E9" w:rsidRPr="00B636E9" w:rsidRDefault="00B636E9" w:rsidP="002866FA">
      <w:pPr>
        <w:pStyle w:val="NoSpacing"/>
        <w:numPr>
          <w:ilvl w:val="0"/>
          <w:numId w:val="4"/>
        </w:numPr>
        <w:rPr>
          <w:rFonts w:ascii="Cambria" w:hAnsi="Cambria"/>
        </w:rPr>
      </w:pPr>
      <w:r w:rsidRPr="00B636E9">
        <w:rPr>
          <w:rFonts w:ascii="Cambria" w:hAnsi="Cambria"/>
        </w:rPr>
        <w:t>variations in pricing across bilateral agreements</w:t>
      </w:r>
    </w:p>
    <w:p w14:paraId="6D016894" w14:textId="77777777" w:rsidR="00B636E9" w:rsidRPr="00B636E9" w:rsidRDefault="00B636E9" w:rsidP="002866FA">
      <w:pPr>
        <w:pStyle w:val="NoSpacing"/>
        <w:numPr>
          <w:ilvl w:val="0"/>
          <w:numId w:val="4"/>
        </w:numPr>
        <w:rPr>
          <w:rFonts w:ascii="Cambria" w:hAnsi="Cambria"/>
        </w:rPr>
      </w:pPr>
      <w:r w:rsidRPr="00B636E9">
        <w:rPr>
          <w:rFonts w:ascii="Cambria" w:hAnsi="Cambria"/>
        </w:rPr>
        <w:t>the potential impact of wholesale charges on retail competition.</w:t>
      </w:r>
    </w:p>
    <w:p w14:paraId="640EE556" w14:textId="77777777" w:rsidR="00B636E9" w:rsidRDefault="00B636E9" w:rsidP="00B636E9">
      <w:pPr>
        <w:pStyle w:val="NoSpacing"/>
        <w:rPr>
          <w:rFonts w:ascii="Cambria" w:hAnsi="Cambria"/>
        </w:rPr>
      </w:pPr>
    </w:p>
    <w:p w14:paraId="6A15D692" w14:textId="23CF557A" w:rsidR="00B636E9" w:rsidRPr="00B636E9" w:rsidRDefault="00B636E9" w:rsidP="00B636E9">
      <w:pPr>
        <w:pStyle w:val="NoSpacing"/>
        <w:rPr>
          <w:rFonts w:ascii="Cambria" w:hAnsi="Cambria"/>
        </w:rPr>
      </w:pPr>
      <w:r w:rsidRPr="00B636E9">
        <w:rPr>
          <w:rFonts w:ascii="Cambria" w:hAnsi="Cambria"/>
        </w:rPr>
        <w:t>In response to these concerns, the Authority is initiating this consultation to seek stakeholder views on the introduction of a</w:t>
      </w:r>
      <w:r w:rsidRPr="00B636E9">
        <w:rPr>
          <w:rStyle w:val="apple-converted-space"/>
          <w:rFonts w:ascii="Cambria" w:hAnsi="Cambria"/>
          <w:color w:val="000000"/>
        </w:rPr>
        <w:t> </w:t>
      </w:r>
      <w:r w:rsidRPr="00B636E9">
        <w:rPr>
          <w:rStyle w:val="Strong"/>
          <w:rFonts w:ascii="Cambria" w:hAnsi="Cambria"/>
          <w:b w:val="0"/>
          <w:bCs w:val="0"/>
          <w:color w:val="000000"/>
        </w:rPr>
        <w:t>benchmark-based framework for regulating national roaming wholesale rates in Ghana</w:t>
      </w:r>
      <w:r w:rsidRPr="00B636E9">
        <w:rPr>
          <w:rStyle w:val="Strong"/>
          <w:rFonts w:ascii="Cambria" w:hAnsi="Cambria"/>
          <w:color w:val="000000"/>
        </w:rPr>
        <w:t>.</w:t>
      </w:r>
    </w:p>
    <w:p w14:paraId="3EC73F89" w14:textId="77777777" w:rsidR="00B636E9" w:rsidRDefault="00B636E9" w:rsidP="00B636E9">
      <w:pPr>
        <w:pStyle w:val="NoSpacing"/>
        <w:rPr>
          <w:rFonts w:ascii="Cambria" w:hAnsi="Cambria"/>
        </w:rPr>
      </w:pPr>
    </w:p>
    <w:p w14:paraId="62D592F4" w14:textId="76553B0C" w:rsidR="00B636E9" w:rsidRPr="00B636E9" w:rsidRDefault="00B636E9" w:rsidP="00B636E9">
      <w:pPr>
        <w:pStyle w:val="NoSpacing"/>
        <w:rPr>
          <w:rFonts w:ascii="Cambria" w:hAnsi="Cambria"/>
        </w:rPr>
      </w:pPr>
      <w:r w:rsidRPr="00B636E9">
        <w:rPr>
          <w:rFonts w:ascii="Cambria" w:hAnsi="Cambria"/>
        </w:rPr>
        <w:t>The proposed framework seeks to promote:</w:t>
      </w:r>
    </w:p>
    <w:p w14:paraId="36737468" w14:textId="77777777" w:rsidR="00B636E9" w:rsidRPr="00B636E9" w:rsidRDefault="00B636E9" w:rsidP="002866FA">
      <w:pPr>
        <w:pStyle w:val="NoSpacing"/>
        <w:numPr>
          <w:ilvl w:val="0"/>
          <w:numId w:val="5"/>
        </w:numPr>
        <w:rPr>
          <w:rFonts w:ascii="Cambria" w:hAnsi="Cambria"/>
        </w:rPr>
      </w:pPr>
      <w:r w:rsidRPr="00B636E9">
        <w:rPr>
          <w:rFonts w:ascii="Cambria" w:hAnsi="Cambria"/>
        </w:rPr>
        <w:t>fair and effective competition among mobile network operators</w:t>
      </w:r>
    </w:p>
    <w:p w14:paraId="0645847D" w14:textId="5D11CB2C" w:rsidR="00B636E9" w:rsidRPr="00B636E9" w:rsidRDefault="00B636E9" w:rsidP="002866FA">
      <w:pPr>
        <w:pStyle w:val="NoSpacing"/>
        <w:numPr>
          <w:ilvl w:val="0"/>
          <w:numId w:val="5"/>
        </w:numPr>
        <w:rPr>
          <w:rFonts w:ascii="Cambria" w:hAnsi="Cambria"/>
        </w:rPr>
      </w:pPr>
      <w:r w:rsidRPr="00B636E9">
        <w:rPr>
          <w:rFonts w:ascii="Cambria" w:hAnsi="Cambria"/>
        </w:rPr>
        <w:t>efficient utili</w:t>
      </w:r>
      <w:r w:rsidR="00A5156C">
        <w:rPr>
          <w:rFonts w:ascii="Cambria" w:hAnsi="Cambria"/>
        </w:rPr>
        <w:t>z</w:t>
      </w:r>
      <w:r w:rsidRPr="00B636E9">
        <w:rPr>
          <w:rFonts w:ascii="Cambria" w:hAnsi="Cambria"/>
        </w:rPr>
        <w:t>ation of existing telecommunications infrastructure</w:t>
      </w:r>
    </w:p>
    <w:p w14:paraId="33F8668F" w14:textId="77777777" w:rsidR="00B636E9" w:rsidRPr="00B636E9" w:rsidRDefault="00B636E9" w:rsidP="002866FA">
      <w:pPr>
        <w:pStyle w:val="NoSpacing"/>
        <w:numPr>
          <w:ilvl w:val="0"/>
          <w:numId w:val="5"/>
        </w:numPr>
        <w:rPr>
          <w:rFonts w:ascii="Cambria" w:hAnsi="Cambria"/>
        </w:rPr>
      </w:pPr>
      <w:r w:rsidRPr="00B636E9">
        <w:rPr>
          <w:rFonts w:ascii="Cambria" w:hAnsi="Cambria"/>
        </w:rPr>
        <w:t>improved service availability for consumers</w:t>
      </w:r>
    </w:p>
    <w:p w14:paraId="5B8349CC" w14:textId="77777777" w:rsidR="00B636E9" w:rsidRPr="00B636E9" w:rsidRDefault="00B636E9" w:rsidP="002866FA">
      <w:pPr>
        <w:pStyle w:val="NoSpacing"/>
        <w:numPr>
          <w:ilvl w:val="0"/>
          <w:numId w:val="5"/>
        </w:numPr>
        <w:rPr>
          <w:rFonts w:ascii="Cambria" w:hAnsi="Cambria"/>
        </w:rPr>
      </w:pPr>
      <w:r w:rsidRPr="00B636E9">
        <w:rPr>
          <w:rFonts w:ascii="Cambria" w:hAnsi="Cambria"/>
        </w:rPr>
        <w:t>transparent and predictable wholesale roaming pricing.</w:t>
      </w:r>
    </w:p>
    <w:p w14:paraId="6CF633AD" w14:textId="77777777" w:rsidR="00B636E9" w:rsidRDefault="00B636E9" w:rsidP="00B636E9">
      <w:pPr>
        <w:pStyle w:val="NoSpacing"/>
        <w:rPr>
          <w:rFonts w:ascii="Cambria" w:hAnsi="Cambria"/>
        </w:rPr>
      </w:pPr>
    </w:p>
    <w:p w14:paraId="56B30CBF" w14:textId="04D4A623" w:rsidR="00B636E9" w:rsidRPr="00B636E9" w:rsidRDefault="00B636E9" w:rsidP="00B636E9">
      <w:pPr>
        <w:pStyle w:val="NoSpacing"/>
        <w:rPr>
          <w:rFonts w:ascii="Cambria" w:hAnsi="Cambria"/>
        </w:rPr>
      </w:pPr>
      <w:r w:rsidRPr="00B636E9">
        <w:rPr>
          <w:rFonts w:ascii="Cambria" w:hAnsi="Cambria"/>
        </w:rPr>
        <w:t>To determine the proposed wholesale roaming rates, the Authority undertook an analytical review involving:</w:t>
      </w:r>
    </w:p>
    <w:p w14:paraId="2DFCDBF9" w14:textId="77777777" w:rsidR="00B636E9" w:rsidRPr="00B636E9" w:rsidRDefault="00B636E9" w:rsidP="002866FA">
      <w:pPr>
        <w:pStyle w:val="NoSpacing"/>
        <w:numPr>
          <w:ilvl w:val="0"/>
          <w:numId w:val="6"/>
        </w:numPr>
        <w:rPr>
          <w:rFonts w:ascii="Cambria" w:hAnsi="Cambria"/>
          <w:b/>
          <w:bCs/>
        </w:rPr>
      </w:pPr>
      <w:r w:rsidRPr="00B636E9">
        <w:rPr>
          <w:rFonts w:ascii="Cambria" w:hAnsi="Cambria"/>
        </w:rPr>
        <w:t>an assessment of</w:t>
      </w:r>
      <w:r w:rsidRPr="00B636E9">
        <w:rPr>
          <w:rStyle w:val="apple-converted-space"/>
          <w:rFonts w:ascii="Cambria" w:hAnsi="Cambria"/>
          <w:color w:val="000000"/>
        </w:rPr>
        <w:t> </w:t>
      </w:r>
      <w:r w:rsidRPr="00B636E9">
        <w:rPr>
          <w:rStyle w:val="Strong"/>
          <w:rFonts w:ascii="Cambria" w:hAnsi="Cambria"/>
          <w:b w:val="0"/>
          <w:bCs w:val="0"/>
          <w:color w:val="000000"/>
        </w:rPr>
        <w:t>prevailing retail tariffs of the Significant Market Power (SMP) operator</w:t>
      </w:r>
    </w:p>
    <w:p w14:paraId="588F981A" w14:textId="77777777" w:rsidR="00B636E9" w:rsidRPr="00B636E9" w:rsidRDefault="00B636E9" w:rsidP="002866FA">
      <w:pPr>
        <w:pStyle w:val="NoSpacing"/>
        <w:numPr>
          <w:ilvl w:val="0"/>
          <w:numId w:val="6"/>
        </w:numPr>
        <w:rPr>
          <w:rFonts w:ascii="Cambria" w:hAnsi="Cambria"/>
        </w:rPr>
      </w:pPr>
      <w:r w:rsidRPr="00B636E9">
        <w:rPr>
          <w:rFonts w:ascii="Cambria" w:hAnsi="Cambria"/>
        </w:rPr>
        <w:t>a review of</w:t>
      </w:r>
      <w:r w:rsidRPr="00B636E9">
        <w:rPr>
          <w:rStyle w:val="apple-converted-space"/>
          <w:rFonts w:ascii="Cambria" w:hAnsi="Cambria"/>
          <w:color w:val="000000"/>
        </w:rPr>
        <w:t> </w:t>
      </w:r>
      <w:r w:rsidRPr="00B636E9">
        <w:rPr>
          <w:rStyle w:val="Strong"/>
          <w:rFonts w:ascii="Cambria" w:hAnsi="Cambria"/>
          <w:b w:val="0"/>
          <w:bCs w:val="0"/>
          <w:color w:val="000000"/>
        </w:rPr>
        <w:t>existing wholesale roaming rates contained in bilateral agreements between operators</w:t>
      </w:r>
    </w:p>
    <w:p w14:paraId="17CB0393" w14:textId="77777777" w:rsidR="00B636E9" w:rsidRPr="00B636E9" w:rsidRDefault="00B636E9" w:rsidP="002866FA">
      <w:pPr>
        <w:pStyle w:val="NoSpacing"/>
        <w:numPr>
          <w:ilvl w:val="0"/>
          <w:numId w:val="6"/>
        </w:numPr>
        <w:rPr>
          <w:rFonts w:ascii="Cambria" w:hAnsi="Cambria"/>
        </w:rPr>
      </w:pPr>
      <w:r w:rsidRPr="00B636E9">
        <w:rPr>
          <w:rFonts w:ascii="Cambria" w:hAnsi="Cambria"/>
        </w:rPr>
        <w:t>an evaluation of the</w:t>
      </w:r>
      <w:r w:rsidRPr="00B636E9">
        <w:rPr>
          <w:rStyle w:val="apple-converted-space"/>
          <w:rFonts w:ascii="Cambria" w:hAnsi="Cambria"/>
          <w:color w:val="000000"/>
        </w:rPr>
        <w:t> </w:t>
      </w:r>
      <w:r w:rsidRPr="00B636E9">
        <w:rPr>
          <w:rStyle w:val="Strong"/>
          <w:rFonts w:ascii="Cambria" w:hAnsi="Cambria"/>
          <w:b w:val="0"/>
          <w:bCs w:val="0"/>
          <w:color w:val="000000"/>
        </w:rPr>
        <w:t>relationship between retail tariffs and wholesale roaming charges</w:t>
      </w:r>
      <w:r w:rsidRPr="00B636E9">
        <w:rPr>
          <w:rStyle w:val="apple-converted-space"/>
          <w:rFonts w:ascii="Cambria" w:hAnsi="Cambria"/>
          <w:color w:val="000000"/>
        </w:rPr>
        <w:t> </w:t>
      </w:r>
      <w:r w:rsidRPr="00B636E9">
        <w:rPr>
          <w:rFonts w:ascii="Cambria" w:hAnsi="Cambria"/>
        </w:rPr>
        <w:t>to prevent conditions that could give rise to margin squeeze.</w:t>
      </w:r>
    </w:p>
    <w:p w14:paraId="0670C14F" w14:textId="77777777" w:rsidR="00B636E9" w:rsidRDefault="00B636E9" w:rsidP="00B636E9">
      <w:pPr>
        <w:pStyle w:val="NoSpacing"/>
        <w:rPr>
          <w:rFonts w:ascii="Cambria" w:hAnsi="Cambria"/>
        </w:rPr>
      </w:pPr>
    </w:p>
    <w:p w14:paraId="6254E7FB" w14:textId="7BEB217D" w:rsidR="00B636E9" w:rsidRDefault="00B636E9" w:rsidP="00B636E9">
      <w:pPr>
        <w:pStyle w:val="NoSpacing"/>
        <w:rPr>
          <w:rFonts w:ascii="Cambria" w:hAnsi="Cambria"/>
        </w:rPr>
      </w:pPr>
      <w:r w:rsidRPr="00B636E9">
        <w:rPr>
          <w:rFonts w:ascii="Cambria" w:hAnsi="Cambria"/>
        </w:rPr>
        <w:t>Based on this analysis, the Authority has derived</w:t>
      </w:r>
      <w:r w:rsidRPr="00B636E9">
        <w:rPr>
          <w:rStyle w:val="apple-converted-space"/>
          <w:rFonts w:ascii="Cambria" w:hAnsi="Cambria"/>
          <w:color w:val="000000"/>
        </w:rPr>
        <w:t> </w:t>
      </w:r>
      <w:r w:rsidRPr="00B636E9">
        <w:rPr>
          <w:rStyle w:val="Strong"/>
          <w:rFonts w:ascii="Cambria" w:hAnsi="Cambria"/>
          <w:b w:val="0"/>
          <w:bCs w:val="0"/>
          <w:color w:val="000000"/>
        </w:rPr>
        <w:t>benchmark wholesale reference rates</w:t>
      </w:r>
      <w:r w:rsidRPr="00B636E9">
        <w:rPr>
          <w:rStyle w:val="apple-converted-space"/>
          <w:rFonts w:ascii="Cambria" w:hAnsi="Cambria"/>
          <w:color w:val="000000"/>
        </w:rPr>
        <w:t> </w:t>
      </w:r>
      <w:r w:rsidRPr="00B636E9">
        <w:rPr>
          <w:rFonts w:ascii="Cambria" w:hAnsi="Cambria"/>
        </w:rPr>
        <w:t>for national roaming services covering voice, SMS, data and USSD services.</w:t>
      </w:r>
    </w:p>
    <w:p w14:paraId="305B9284" w14:textId="77777777" w:rsidR="00B636E9" w:rsidRDefault="00B636E9" w:rsidP="00B636E9">
      <w:pPr>
        <w:pStyle w:val="NoSpacing"/>
        <w:rPr>
          <w:rFonts w:ascii="Cambria" w:hAnsi="Cambria"/>
        </w:rPr>
      </w:pPr>
    </w:p>
    <w:p w14:paraId="4B54022E" w14:textId="10DD5761" w:rsidR="00B636E9" w:rsidRPr="00B636E9" w:rsidRDefault="00B636E9" w:rsidP="00B636E9">
      <w:pPr>
        <w:pStyle w:val="NoSpacing"/>
        <w:jc w:val="center"/>
        <w:rPr>
          <w:rFonts w:ascii="Cambria" w:hAnsi="Cambria"/>
          <w:i/>
          <w:iCs/>
        </w:rPr>
      </w:pPr>
      <w:r w:rsidRPr="00B636E9">
        <w:rPr>
          <w:rFonts w:ascii="Cambria" w:hAnsi="Cambria"/>
          <w:i/>
          <w:iCs/>
        </w:rPr>
        <w:lastRenderedPageBreak/>
        <w:t xml:space="preserve">Table </w:t>
      </w:r>
      <w:r w:rsidRPr="00B636E9">
        <w:rPr>
          <w:rFonts w:ascii="Cambria" w:hAnsi="Cambria"/>
          <w:i/>
          <w:iCs/>
        </w:rPr>
        <w:fldChar w:fldCharType="begin"/>
      </w:r>
      <w:r w:rsidRPr="00B636E9">
        <w:rPr>
          <w:rFonts w:ascii="Cambria" w:hAnsi="Cambria"/>
          <w:i/>
          <w:iCs/>
        </w:rPr>
        <w:instrText xml:space="preserve"> SEQ Table \* ARABIC </w:instrText>
      </w:r>
      <w:r w:rsidRPr="00B636E9">
        <w:rPr>
          <w:rFonts w:ascii="Cambria" w:hAnsi="Cambria"/>
          <w:i/>
          <w:iCs/>
        </w:rPr>
        <w:fldChar w:fldCharType="separate"/>
      </w:r>
      <w:r w:rsidR="00EB3DE7">
        <w:rPr>
          <w:rFonts w:ascii="Cambria" w:hAnsi="Cambria"/>
          <w:i/>
          <w:iCs/>
          <w:noProof/>
        </w:rPr>
        <w:t>1</w:t>
      </w:r>
      <w:r w:rsidRPr="00B636E9">
        <w:rPr>
          <w:rFonts w:ascii="Cambria" w:hAnsi="Cambria"/>
          <w:i/>
          <w:iCs/>
        </w:rPr>
        <w:fldChar w:fldCharType="end"/>
      </w:r>
      <w:r w:rsidRPr="00B636E9">
        <w:rPr>
          <w:rFonts w:ascii="Cambria" w:hAnsi="Cambria"/>
          <w:i/>
          <w:iCs/>
        </w:rPr>
        <w:t>: Proposed Wholesale National Roaming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B636E9" w:rsidRPr="00A5156C" w14:paraId="5EF0AC83" w14:textId="77777777" w:rsidTr="002A2902">
        <w:tc>
          <w:tcPr>
            <w:tcW w:w="3009" w:type="dxa"/>
          </w:tcPr>
          <w:p w14:paraId="3E7994AF" w14:textId="77777777" w:rsidR="00B636E9" w:rsidRPr="00A5156C" w:rsidRDefault="00B636E9" w:rsidP="00A5156C">
            <w:pPr>
              <w:pStyle w:val="NoSpacing"/>
              <w:jc w:val="center"/>
              <w:rPr>
                <w:rFonts w:ascii="Cambria" w:hAnsi="Cambria"/>
                <w:b/>
                <w:bCs/>
              </w:rPr>
            </w:pPr>
            <w:r w:rsidRPr="00A5156C">
              <w:rPr>
                <w:rFonts w:ascii="Cambria" w:hAnsi="Cambria"/>
                <w:b/>
                <w:bCs/>
              </w:rPr>
              <w:t>Service Category</w:t>
            </w:r>
          </w:p>
        </w:tc>
        <w:tc>
          <w:tcPr>
            <w:tcW w:w="3009" w:type="dxa"/>
          </w:tcPr>
          <w:p w14:paraId="5949C342" w14:textId="77777777" w:rsidR="00B636E9" w:rsidRPr="00A5156C" w:rsidRDefault="00B636E9" w:rsidP="00A5156C">
            <w:pPr>
              <w:pStyle w:val="NoSpacing"/>
              <w:jc w:val="center"/>
              <w:rPr>
                <w:rFonts w:ascii="Cambria" w:hAnsi="Cambria"/>
                <w:b/>
                <w:bCs/>
              </w:rPr>
            </w:pPr>
            <w:r w:rsidRPr="00A5156C">
              <w:rPr>
                <w:rFonts w:ascii="Cambria" w:hAnsi="Cambria"/>
                <w:b/>
                <w:bCs/>
              </w:rPr>
              <w:t>Service Type</w:t>
            </w:r>
          </w:p>
        </w:tc>
        <w:tc>
          <w:tcPr>
            <w:tcW w:w="3009" w:type="dxa"/>
          </w:tcPr>
          <w:p w14:paraId="7DD491F7" w14:textId="359272D2" w:rsidR="00B636E9" w:rsidRPr="00A5156C" w:rsidRDefault="00B636E9" w:rsidP="00A5156C">
            <w:pPr>
              <w:pStyle w:val="NoSpacing"/>
              <w:jc w:val="center"/>
              <w:rPr>
                <w:rFonts w:ascii="Cambria" w:hAnsi="Cambria"/>
                <w:b/>
                <w:bCs/>
              </w:rPr>
            </w:pPr>
            <w:r w:rsidRPr="00A5156C">
              <w:rPr>
                <w:rFonts w:ascii="Cambria" w:hAnsi="Cambria"/>
                <w:b/>
                <w:bCs/>
              </w:rPr>
              <w:t>Proposed Wholesale Rate (</w:t>
            </w:r>
            <w:r w:rsidR="00A5156C">
              <w:rPr>
                <w:rFonts w:ascii="Cambria" w:hAnsi="Cambria"/>
                <w:b/>
                <w:bCs/>
              </w:rPr>
              <w:t>GHS</w:t>
            </w:r>
            <w:r w:rsidRPr="00A5156C">
              <w:rPr>
                <w:rFonts w:ascii="Cambria" w:hAnsi="Cambria"/>
                <w:b/>
                <w:bCs/>
              </w:rPr>
              <w:t>)</w:t>
            </w:r>
          </w:p>
        </w:tc>
      </w:tr>
      <w:tr w:rsidR="00B636E9" w:rsidRPr="00A5156C" w14:paraId="7053480C" w14:textId="77777777" w:rsidTr="002A2902">
        <w:tc>
          <w:tcPr>
            <w:tcW w:w="3009" w:type="dxa"/>
          </w:tcPr>
          <w:p w14:paraId="5216FA20" w14:textId="77777777" w:rsidR="00B636E9" w:rsidRPr="00A5156C" w:rsidRDefault="00B636E9" w:rsidP="00A5156C">
            <w:pPr>
              <w:pStyle w:val="NoSpacing"/>
              <w:rPr>
                <w:rFonts w:ascii="Cambria" w:eastAsiaTheme="majorEastAsia" w:hAnsi="Cambria"/>
              </w:rPr>
            </w:pPr>
            <w:r w:rsidRPr="00A5156C">
              <w:rPr>
                <w:rFonts w:ascii="Cambria" w:eastAsiaTheme="majorEastAsia" w:hAnsi="Cambria"/>
              </w:rPr>
              <w:t>Voice Service</w:t>
            </w:r>
          </w:p>
        </w:tc>
        <w:tc>
          <w:tcPr>
            <w:tcW w:w="3009" w:type="dxa"/>
          </w:tcPr>
          <w:p w14:paraId="568683FA" w14:textId="77777777" w:rsidR="00B636E9" w:rsidRPr="00A5156C" w:rsidRDefault="00B636E9" w:rsidP="00A5156C">
            <w:pPr>
              <w:pStyle w:val="NoSpacing"/>
              <w:rPr>
                <w:rFonts w:ascii="Cambria" w:eastAsiaTheme="majorEastAsia" w:hAnsi="Cambria"/>
              </w:rPr>
            </w:pPr>
            <w:r w:rsidRPr="00A5156C">
              <w:rPr>
                <w:rFonts w:ascii="Cambria" w:eastAsiaTheme="majorEastAsia" w:hAnsi="Cambria"/>
              </w:rPr>
              <w:t>Mobile Originated (MO)</w:t>
            </w:r>
          </w:p>
        </w:tc>
        <w:tc>
          <w:tcPr>
            <w:tcW w:w="3009" w:type="dxa"/>
          </w:tcPr>
          <w:p w14:paraId="0181EC4F" w14:textId="77777777" w:rsidR="00B636E9" w:rsidRPr="00A5156C" w:rsidRDefault="00B636E9" w:rsidP="00A5156C">
            <w:pPr>
              <w:pStyle w:val="NoSpacing"/>
              <w:rPr>
                <w:rFonts w:ascii="Cambria" w:eastAsiaTheme="majorEastAsia" w:hAnsi="Cambria"/>
              </w:rPr>
            </w:pPr>
            <w:r w:rsidRPr="00A5156C">
              <w:rPr>
                <w:rFonts w:ascii="Cambria" w:eastAsiaTheme="majorEastAsia" w:hAnsi="Cambria"/>
              </w:rPr>
              <w:t>0.0053 per minute</w:t>
            </w:r>
          </w:p>
        </w:tc>
      </w:tr>
      <w:tr w:rsidR="00B636E9" w:rsidRPr="00A5156C" w14:paraId="777705EE" w14:textId="77777777" w:rsidTr="002A2902">
        <w:tc>
          <w:tcPr>
            <w:tcW w:w="3009" w:type="dxa"/>
          </w:tcPr>
          <w:p w14:paraId="45FFDACA" w14:textId="77777777" w:rsidR="00B636E9" w:rsidRPr="00A5156C" w:rsidRDefault="00B636E9" w:rsidP="00A5156C">
            <w:pPr>
              <w:pStyle w:val="NoSpacing"/>
              <w:rPr>
                <w:rFonts w:ascii="Cambria" w:eastAsiaTheme="majorEastAsia" w:hAnsi="Cambria"/>
              </w:rPr>
            </w:pPr>
            <w:r w:rsidRPr="00A5156C">
              <w:rPr>
                <w:rFonts w:ascii="Cambria" w:eastAsiaTheme="majorEastAsia" w:hAnsi="Cambria"/>
              </w:rPr>
              <w:t>Voice Service</w:t>
            </w:r>
          </w:p>
        </w:tc>
        <w:tc>
          <w:tcPr>
            <w:tcW w:w="3009" w:type="dxa"/>
          </w:tcPr>
          <w:p w14:paraId="037941F1" w14:textId="77777777" w:rsidR="00B636E9" w:rsidRPr="00A5156C" w:rsidRDefault="00B636E9" w:rsidP="00A5156C">
            <w:pPr>
              <w:pStyle w:val="NoSpacing"/>
              <w:rPr>
                <w:rFonts w:ascii="Cambria" w:eastAsiaTheme="majorEastAsia" w:hAnsi="Cambria"/>
              </w:rPr>
            </w:pPr>
            <w:r w:rsidRPr="00A5156C">
              <w:rPr>
                <w:rFonts w:ascii="Cambria" w:eastAsiaTheme="majorEastAsia" w:hAnsi="Cambria"/>
              </w:rPr>
              <w:t>Mobile Terminated (MT)</w:t>
            </w:r>
          </w:p>
        </w:tc>
        <w:tc>
          <w:tcPr>
            <w:tcW w:w="3009" w:type="dxa"/>
          </w:tcPr>
          <w:p w14:paraId="5DE363C3" w14:textId="77777777" w:rsidR="00B636E9" w:rsidRPr="00A5156C" w:rsidRDefault="00B636E9" w:rsidP="00A5156C">
            <w:pPr>
              <w:pStyle w:val="NoSpacing"/>
              <w:rPr>
                <w:rFonts w:ascii="Cambria" w:eastAsiaTheme="majorEastAsia" w:hAnsi="Cambria"/>
              </w:rPr>
            </w:pPr>
            <w:r w:rsidRPr="00A5156C">
              <w:rPr>
                <w:rFonts w:ascii="Cambria" w:eastAsiaTheme="majorEastAsia" w:hAnsi="Cambria"/>
              </w:rPr>
              <w:t>0.0053 per minute</w:t>
            </w:r>
          </w:p>
        </w:tc>
      </w:tr>
      <w:tr w:rsidR="00B636E9" w:rsidRPr="00A5156C" w14:paraId="1EBE274E" w14:textId="77777777" w:rsidTr="002A2902">
        <w:tc>
          <w:tcPr>
            <w:tcW w:w="3009" w:type="dxa"/>
          </w:tcPr>
          <w:p w14:paraId="2C2B705A" w14:textId="77777777" w:rsidR="00B636E9" w:rsidRPr="00A5156C" w:rsidRDefault="00B636E9" w:rsidP="00A5156C">
            <w:pPr>
              <w:pStyle w:val="NoSpacing"/>
              <w:rPr>
                <w:rFonts w:ascii="Cambria" w:eastAsiaTheme="majorEastAsia" w:hAnsi="Cambria"/>
              </w:rPr>
            </w:pPr>
            <w:r w:rsidRPr="00A5156C">
              <w:rPr>
                <w:rFonts w:ascii="Cambria" w:eastAsiaTheme="majorEastAsia" w:hAnsi="Cambria"/>
              </w:rPr>
              <w:t>SMS Service</w:t>
            </w:r>
          </w:p>
        </w:tc>
        <w:tc>
          <w:tcPr>
            <w:tcW w:w="3009" w:type="dxa"/>
          </w:tcPr>
          <w:p w14:paraId="1981EDF6" w14:textId="77777777" w:rsidR="00B636E9" w:rsidRPr="00A5156C" w:rsidRDefault="00B636E9" w:rsidP="00A5156C">
            <w:pPr>
              <w:pStyle w:val="NoSpacing"/>
              <w:rPr>
                <w:rFonts w:ascii="Cambria" w:eastAsiaTheme="majorEastAsia" w:hAnsi="Cambria"/>
              </w:rPr>
            </w:pPr>
            <w:r w:rsidRPr="00A5156C">
              <w:rPr>
                <w:rFonts w:ascii="Cambria" w:eastAsiaTheme="majorEastAsia" w:hAnsi="Cambria"/>
              </w:rPr>
              <w:t>Mobile Originated (MO)</w:t>
            </w:r>
          </w:p>
        </w:tc>
        <w:tc>
          <w:tcPr>
            <w:tcW w:w="3009" w:type="dxa"/>
          </w:tcPr>
          <w:p w14:paraId="2892B1DD" w14:textId="77777777" w:rsidR="00B636E9" w:rsidRPr="00A5156C" w:rsidRDefault="00B636E9" w:rsidP="00A5156C">
            <w:pPr>
              <w:pStyle w:val="NoSpacing"/>
              <w:rPr>
                <w:rFonts w:ascii="Cambria" w:eastAsiaTheme="majorEastAsia" w:hAnsi="Cambria"/>
              </w:rPr>
            </w:pPr>
            <w:r w:rsidRPr="00A5156C">
              <w:rPr>
                <w:rFonts w:ascii="Cambria" w:eastAsiaTheme="majorEastAsia" w:hAnsi="Cambria"/>
              </w:rPr>
              <w:t>0.00003 per SMS</w:t>
            </w:r>
          </w:p>
        </w:tc>
      </w:tr>
      <w:tr w:rsidR="00B636E9" w:rsidRPr="00A5156C" w14:paraId="2D6EA8D6" w14:textId="77777777" w:rsidTr="002A2902">
        <w:tc>
          <w:tcPr>
            <w:tcW w:w="3009" w:type="dxa"/>
          </w:tcPr>
          <w:p w14:paraId="7FF6A1C4" w14:textId="77777777" w:rsidR="00B636E9" w:rsidRPr="00A5156C" w:rsidRDefault="00B636E9" w:rsidP="00A5156C">
            <w:pPr>
              <w:pStyle w:val="NoSpacing"/>
              <w:rPr>
                <w:rFonts w:ascii="Cambria" w:eastAsiaTheme="majorEastAsia" w:hAnsi="Cambria"/>
              </w:rPr>
            </w:pPr>
            <w:r w:rsidRPr="00A5156C">
              <w:rPr>
                <w:rFonts w:ascii="Cambria" w:eastAsiaTheme="majorEastAsia" w:hAnsi="Cambria"/>
              </w:rPr>
              <w:t>SMS Service</w:t>
            </w:r>
          </w:p>
        </w:tc>
        <w:tc>
          <w:tcPr>
            <w:tcW w:w="3009" w:type="dxa"/>
          </w:tcPr>
          <w:p w14:paraId="33A8D284" w14:textId="77777777" w:rsidR="00B636E9" w:rsidRPr="00A5156C" w:rsidRDefault="00B636E9" w:rsidP="00A5156C">
            <w:pPr>
              <w:pStyle w:val="NoSpacing"/>
              <w:rPr>
                <w:rFonts w:ascii="Cambria" w:eastAsiaTheme="majorEastAsia" w:hAnsi="Cambria"/>
              </w:rPr>
            </w:pPr>
            <w:r w:rsidRPr="00A5156C">
              <w:rPr>
                <w:rFonts w:ascii="Cambria" w:eastAsiaTheme="majorEastAsia" w:hAnsi="Cambria"/>
              </w:rPr>
              <w:t>Mobile Terminated (MT)</w:t>
            </w:r>
          </w:p>
        </w:tc>
        <w:tc>
          <w:tcPr>
            <w:tcW w:w="3009" w:type="dxa"/>
          </w:tcPr>
          <w:p w14:paraId="6EA0E499" w14:textId="77777777" w:rsidR="00B636E9" w:rsidRPr="00A5156C" w:rsidRDefault="00B636E9" w:rsidP="00A5156C">
            <w:pPr>
              <w:pStyle w:val="NoSpacing"/>
              <w:rPr>
                <w:rFonts w:ascii="Cambria" w:eastAsiaTheme="majorEastAsia" w:hAnsi="Cambria"/>
              </w:rPr>
            </w:pPr>
            <w:r w:rsidRPr="00A5156C">
              <w:rPr>
                <w:rFonts w:ascii="Cambria" w:eastAsiaTheme="majorEastAsia" w:hAnsi="Cambria"/>
              </w:rPr>
              <w:t>0.00003 per SMS</w:t>
            </w:r>
          </w:p>
        </w:tc>
      </w:tr>
      <w:tr w:rsidR="00B636E9" w:rsidRPr="00A5156C" w14:paraId="1E203CEC" w14:textId="77777777" w:rsidTr="002A2902">
        <w:tc>
          <w:tcPr>
            <w:tcW w:w="3009" w:type="dxa"/>
          </w:tcPr>
          <w:p w14:paraId="094FD8C3" w14:textId="77777777" w:rsidR="00B636E9" w:rsidRPr="00A5156C" w:rsidRDefault="00B636E9" w:rsidP="00A5156C">
            <w:pPr>
              <w:pStyle w:val="NoSpacing"/>
              <w:rPr>
                <w:rFonts w:ascii="Cambria" w:eastAsiaTheme="majorEastAsia" w:hAnsi="Cambria"/>
              </w:rPr>
            </w:pPr>
            <w:r w:rsidRPr="00A5156C">
              <w:rPr>
                <w:rFonts w:ascii="Cambria" w:eastAsiaTheme="majorEastAsia" w:hAnsi="Cambria"/>
              </w:rPr>
              <w:t>Data Service</w:t>
            </w:r>
          </w:p>
        </w:tc>
        <w:tc>
          <w:tcPr>
            <w:tcW w:w="3009" w:type="dxa"/>
          </w:tcPr>
          <w:p w14:paraId="573B5B19" w14:textId="77777777" w:rsidR="00B636E9" w:rsidRPr="00A5156C" w:rsidRDefault="00B636E9" w:rsidP="00A5156C">
            <w:pPr>
              <w:pStyle w:val="NoSpacing"/>
              <w:rPr>
                <w:rFonts w:ascii="Cambria" w:eastAsiaTheme="majorEastAsia" w:hAnsi="Cambria"/>
              </w:rPr>
            </w:pPr>
            <w:r w:rsidRPr="00A5156C">
              <w:rPr>
                <w:rFonts w:ascii="Cambria" w:eastAsiaTheme="majorEastAsia" w:hAnsi="Cambria"/>
              </w:rPr>
              <w:t>Data Usage</w:t>
            </w:r>
          </w:p>
        </w:tc>
        <w:tc>
          <w:tcPr>
            <w:tcW w:w="3009" w:type="dxa"/>
          </w:tcPr>
          <w:p w14:paraId="1B22B902" w14:textId="77777777" w:rsidR="00B636E9" w:rsidRPr="00A5156C" w:rsidRDefault="00B636E9" w:rsidP="00A5156C">
            <w:pPr>
              <w:pStyle w:val="NoSpacing"/>
              <w:rPr>
                <w:rFonts w:ascii="Cambria" w:eastAsiaTheme="majorEastAsia" w:hAnsi="Cambria"/>
              </w:rPr>
            </w:pPr>
            <w:r w:rsidRPr="00A5156C">
              <w:rPr>
                <w:rFonts w:ascii="Cambria" w:eastAsiaTheme="majorEastAsia" w:hAnsi="Cambria"/>
              </w:rPr>
              <w:t>0.0032 per MB</w:t>
            </w:r>
          </w:p>
        </w:tc>
      </w:tr>
      <w:tr w:rsidR="00B636E9" w:rsidRPr="00A5156C" w14:paraId="793E5128" w14:textId="77777777" w:rsidTr="002A2902">
        <w:tc>
          <w:tcPr>
            <w:tcW w:w="3009" w:type="dxa"/>
          </w:tcPr>
          <w:p w14:paraId="55CDF03E" w14:textId="77777777" w:rsidR="00B636E9" w:rsidRPr="00A5156C" w:rsidRDefault="00B636E9" w:rsidP="00A5156C">
            <w:pPr>
              <w:pStyle w:val="NoSpacing"/>
              <w:rPr>
                <w:rFonts w:ascii="Cambria" w:eastAsiaTheme="majorEastAsia" w:hAnsi="Cambria"/>
              </w:rPr>
            </w:pPr>
            <w:r w:rsidRPr="00A5156C">
              <w:rPr>
                <w:rFonts w:ascii="Cambria" w:eastAsiaTheme="majorEastAsia" w:hAnsi="Cambria"/>
              </w:rPr>
              <w:t>USSD Service</w:t>
            </w:r>
          </w:p>
        </w:tc>
        <w:tc>
          <w:tcPr>
            <w:tcW w:w="3009" w:type="dxa"/>
          </w:tcPr>
          <w:p w14:paraId="58865170" w14:textId="77777777" w:rsidR="00B636E9" w:rsidRPr="00A5156C" w:rsidRDefault="00B636E9" w:rsidP="00A5156C">
            <w:pPr>
              <w:pStyle w:val="NoSpacing"/>
              <w:rPr>
                <w:rFonts w:ascii="Cambria" w:eastAsiaTheme="majorEastAsia" w:hAnsi="Cambria"/>
              </w:rPr>
            </w:pPr>
            <w:r w:rsidRPr="00A5156C">
              <w:rPr>
                <w:rFonts w:ascii="Cambria" w:eastAsiaTheme="majorEastAsia" w:hAnsi="Cambria"/>
              </w:rPr>
              <w:t>USSD Session</w:t>
            </w:r>
          </w:p>
        </w:tc>
        <w:tc>
          <w:tcPr>
            <w:tcW w:w="3009" w:type="dxa"/>
          </w:tcPr>
          <w:p w14:paraId="33EF2A80" w14:textId="77777777" w:rsidR="00B636E9" w:rsidRPr="00A5156C" w:rsidRDefault="00B636E9" w:rsidP="00A5156C">
            <w:pPr>
              <w:pStyle w:val="NoSpacing"/>
              <w:rPr>
                <w:rFonts w:ascii="Cambria" w:eastAsiaTheme="majorEastAsia" w:hAnsi="Cambria"/>
              </w:rPr>
            </w:pPr>
            <w:r w:rsidRPr="00A5156C">
              <w:rPr>
                <w:rFonts w:ascii="Cambria" w:eastAsiaTheme="majorEastAsia" w:hAnsi="Cambria"/>
              </w:rPr>
              <w:t>0.00003 per USSD session</w:t>
            </w:r>
          </w:p>
        </w:tc>
      </w:tr>
    </w:tbl>
    <w:p w14:paraId="09FCB35C" w14:textId="77777777" w:rsidR="00B636E9" w:rsidRPr="00B636E9" w:rsidRDefault="00B636E9" w:rsidP="00B636E9">
      <w:pPr>
        <w:pStyle w:val="NoSpacing"/>
        <w:rPr>
          <w:rFonts w:ascii="Cambria" w:hAnsi="Cambria"/>
        </w:rPr>
      </w:pPr>
    </w:p>
    <w:p w14:paraId="6E547042" w14:textId="77777777" w:rsidR="00B636E9" w:rsidRPr="00B636E9" w:rsidRDefault="00B636E9" w:rsidP="00B636E9">
      <w:pPr>
        <w:pStyle w:val="NoSpacing"/>
        <w:rPr>
          <w:rFonts w:ascii="Cambria" w:hAnsi="Cambria"/>
        </w:rPr>
      </w:pPr>
      <w:r w:rsidRPr="00B636E9">
        <w:rPr>
          <w:rFonts w:ascii="Cambria" w:hAnsi="Cambria"/>
        </w:rPr>
        <w:t>These proposed rates are intended to serve as</w:t>
      </w:r>
      <w:r w:rsidRPr="00B636E9">
        <w:rPr>
          <w:rStyle w:val="apple-converted-space"/>
          <w:rFonts w:ascii="Cambria" w:hAnsi="Cambria"/>
          <w:color w:val="000000"/>
        </w:rPr>
        <w:t> </w:t>
      </w:r>
      <w:r w:rsidRPr="00B636E9">
        <w:rPr>
          <w:rStyle w:val="Strong"/>
          <w:rFonts w:ascii="Cambria" w:hAnsi="Cambria"/>
          <w:color w:val="000000"/>
        </w:rPr>
        <w:t>reference wholesale ceiling rates</w:t>
      </w:r>
      <w:r w:rsidRPr="00B636E9">
        <w:rPr>
          <w:rStyle w:val="apple-converted-space"/>
          <w:rFonts w:ascii="Cambria" w:hAnsi="Cambria"/>
          <w:color w:val="000000"/>
        </w:rPr>
        <w:t> </w:t>
      </w:r>
      <w:r w:rsidRPr="00B636E9">
        <w:rPr>
          <w:rFonts w:ascii="Cambria" w:hAnsi="Cambria"/>
        </w:rPr>
        <w:t>that will guide national roaming agreements between operators.</w:t>
      </w:r>
    </w:p>
    <w:p w14:paraId="6DA95F03" w14:textId="77777777" w:rsidR="00B636E9" w:rsidRDefault="00B636E9" w:rsidP="00B636E9">
      <w:pPr>
        <w:pStyle w:val="NoSpacing"/>
        <w:rPr>
          <w:rFonts w:ascii="Cambria" w:hAnsi="Cambria"/>
        </w:rPr>
      </w:pPr>
    </w:p>
    <w:p w14:paraId="38637948" w14:textId="606A6B75" w:rsidR="00B636E9" w:rsidRPr="00B636E9" w:rsidRDefault="00B636E9" w:rsidP="00B636E9">
      <w:pPr>
        <w:pStyle w:val="NoSpacing"/>
        <w:rPr>
          <w:rFonts w:ascii="Cambria" w:hAnsi="Cambria"/>
        </w:rPr>
      </w:pPr>
      <w:r w:rsidRPr="00B636E9">
        <w:rPr>
          <w:rFonts w:ascii="Cambria" w:hAnsi="Cambria"/>
        </w:rPr>
        <w:t>The Authority will review stakeholder submissions and may refine the proposed framework before issuing the final regulatory guidelines.</w:t>
      </w:r>
    </w:p>
    <w:p w14:paraId="728A9FAB" w14:textId="77777777" w:rsidR="00B636E9" w:rsidRDefault="00B636E9" w:rsidP="00B636E9">
      <w:pPr>
        <w:pStyle w:val="NoSpacing"/>
        <w:rPr>
          <w:rFonts w:ascii="Cambria" w:hAnsi="Cambria"/>
        </w:rPr>
      </w:pPr>
    </w:p>
    <w:p w14:paraId="5B3088CF" w14:textId="15AEEB6E" w:rsidR="00B636E9" w:rsidRPr="00B636E9" w:rsidRDefault="00B636E9" w:rsidP="00B636E9">
      <w:pPr>
        <w:pStyle w:val="NoSpacing"/>
        <w:rPr>
          <w:rFonts w:ascii="Cambria" w:hAnsi="Cambria"/>
        </w:rPr>
      </w:pPr>
      <w:r w:rsidRPr="00B636E9">
        <w:rPr>
          <w:rFonts w:ascii="Cambria" w:hAnsi="Cambria"/>
        </w:rPr>
        <w:t>Stakeholders are invited to provide written comments on the proposed framework, including the methodology used and the proposed wholesale rates.</w:t>
      </w:r>
    </w:p>
    <w:p w14:paraId="189A35AB" w14:textId="77777777" w:rsidR="00B636E9" w:rsidRDefault="00B636E9" w:rsidP="00B636E9">
      <w:pPr>
        <w:pStyle w:val="NoSpacing"/>
        <w:rPr>
          <w:rFonts w:ascii="Cambria" w:hAnsi="Cambria"/>
        </w:rPr>
      </w:pPr>
    </w:p>
    <w:p w14:paraId="6FFD5C3E" w14:textId="43ED7494" w:rsidR="00B636E9" w:rsidRPr="00B636E9" w:rsidRDefault="00B636E9" w:rsidP="00B636E9">
      <w:pPr>
        <w:pStyle w:val="NoSpacing"/>
        <w:rPr>
          <w:rFonts w:ascii="Cambria" w:hAnsi="Cambria"/>
        </w:rPr>
      </w:pPr>
      <w:r w:rsidRPr="00B636E9">
        <w:rPr>
          <w:rFonts w:ascii="Cambria" w:hAnsi="Cambria"/>
        </w:rPr>
        <w:t>The Authority encourages all interested parties</w:t>
      </w:r>
      <w:r>
        <w:rPr>
          <w:rFonts w:ascii="Cambria" w:hAnsi="Cambria"/>
        </w:rPr>
        <w:t xml:space="preserve"> </w:t>
      </w:r>
      <w:r w:rsidRPr="00B636E9">
        <w:rPr>
          <w:rFonts w:ascii="Cambria" w:hAnsi="Cambria"/>
        </w:rPr>
        <w:t>to participate in this consultation process.</w:t>
      </w:r>
    </w:p>
    <w:p w14:paraId="1773960E" w14:textId="48505739" w:rsidR="00B636E9" w:rsidRPr="00B636E9" w:rsidRDefault="00B636E9">
      <w:pPr>
        <w:rPr>
          <w:rFonts w:ascii="Cambria" w:eastAsiaTheme="majorEastAsia" w:hAnsi="Cambria" w:cs="Cambria"/>
          <w:color w:val="2E74B5" w:themeColor="accent1" w:themeShade="BF"/>
          <w:sz w:val="32"/>
          <w:szCs w:val="32"/>
          <w:lang w:val="en-US" w:eastAsia="en-US"/>
        </w:rPr>
      </w:pPr>
    </w:p>
    <w:p w14:paraId="465E1F1F" w14:textId="77777777" w:rsidR="00A5156C" w:rsidRDefault="00A5156C">
      <w:pPr>
        <w:rPr>
          <w:rFonts w:ascii="Cambria" w:hAnsi="Cambria" w:cs="Cambria"/>
        </w:rPr>
      </w:pPr>
      <w:r>
        <w:rPr>
          <w:rFonts w:ascii="Cambria" w:hAnsi="Cambria" w:cs="Cambria"/>
        </w:rPr>
        <w:br w:type="page"/>
      </w:r>
    </w:p>
    <w:p w14:paraId="696DB5D4" w14:textId="77777777" w:rsidR="00A5156C" w:rsidRDefault="00A5156C">
      <w:pPr>
        <w:rPr>
          <w:rFonts w:ascii="Cambria" w:hAnsi="Cambria" w:cs="Cambria"/>
        </w:rPr>
      </w:pPr>
    </w:p>
    <w:sdt>
      <w:sdtPr>
        <w:rPr>
          <w:rFonts w:ascii="Times New Roman" w:eastAsia="Times New Roman" w:hAnsi="Times New Roman" w:cs="Times New Roman"/>
          <w:b w:val="0"/>
          <w:bCs w:val="0"/>
          <w:color w:val="auto"/>
          <w:sz w:val="24"/>
          <w:szCs w:val="24"/>
          <w:lang w:eastAsia="zh-CN"/>
        </w:rPr>
        <w:id w:val="-337619011"/>
        <w:docPartObj>
          <w:docPartGallery w:val="Table of Contents"/>
          <w:docPartUnique/>
        </w:docPartObj>
      </w:sdtPr>
      <w:sdtEndPr>
        <w:rPr>
          <w:noProof/>
        </w:rPr>
      </w:sdtEndPr>
      <w:sdtContent>
        <w:p w14:paraId="25422D4B" w14:textId="6FB460C0" w:rsidR="00A5156C" w:rsidRDefault="00A5156C">
          <w:pPr>
            <w:pStyle w:val="TOCHeading"/>
          </w:pPr>
          <w:r>
            <w:t>Table of Contents</w:t>
          </w:r>
        </w:p>
        <w:p w14:paraId="7B65367E" w14:textId="10B6E51C" w:rsidR="00FE2635" w:rsidRDefault="00A5156C">
          <w:pPr>
            <w:pStyle w:val="TOC1"/>
            <w:tabs>
              <w:tab w:val="right" w:leader="dot" w:pos="9016"/>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223979925" w:history="1">
            <w:r w:rsidR="00FE2635" w:rsidRPr="00CB58CE">
              <w:rPr>
                <w:rStyle w:val="Hyperlink"/>
                <w:rFonts w:ascii="Cambria" w:hAnsi="Cambria"/>
                <w:noProof/>
              </w:rPr>
              <w:t>EXECUTIVE SUMMARY</w:t>
            </w:r>
            <w:r w:rsidR="00FE2635">
              <w:rPr>
                <w:noProof/>
                <w:webHidden/>
              </w:rPr>
              <w:tab/>
            </w:r>
            <w:r w:rsidR="00FE2635">
              <w:rPr>
                <w:noProof/>
                <w:webHidden/>
              </w:rPr>
              <w:fldChar w:fldCharType="begin"/>
            </w:r>
            <w:r w:rsidR="00FE2635">
              <w:rPr>
                <w:noProof/>
                <w:webHidden/>
              </w:rPr>
              <w:instrText xml:space="preserve"> PAGEREF _Toc223979925 \h </w:instrText>
            </w:r>
            <w:r w:rsidR="00FE2635">
              <w:rPr>
                <w:noProof/>
                <w:webHidden/>
              </w:rPr>
            </w:r>
            <w:r w:rsidR="00FE2635">
              <w:rPr>
                <w:noProof/>
                <w:webHidden/>
              </w:rPr>
              <w:fldChar w:fldCharType="separate"/>
            </w:r>
            <w:r w:rsidR="00EB3DE7">
              <w:rPr>
                <w:noProof/>
                <w:webHidden/>
              </w:rPr>
              <w:t>3</w:t>
            </w:r>
            <w:r w:rsidR="00FE2635">
              <w:rPr>
                <w:noProof/>
                <w:webHidden/>
              </w:rPr>
              <w:fldChar w:fldCharType="end"/>
            </w:r>
          </w:hyperlink>
        </w:p>
        <w:p w14:paraId="74E87BC7" w14:textId="75E2F99A" w:rsidR="00FE2635" w:rsidRDefault="002866FA">
          <w:pPr>
            <w:pStyle w:val="TOC1"/>
            <w:tabs>
              <w:tab w:val="right" w:leader="dot" w:pos="9016"/>
            </w:tabs>
            <w:rPr>
              <w:rFonts w:eastAsiaTheme="minorEastAsia" w:cstheme="minorBidi"/>
              <w:b w:val="0"/>
              <w:bCs w:val="0"/>
              <w:i w:val="0"/>
              <w:iCs w:val="0"/>
              <w:noProof/>
              <w:kern w:val="2"/>
              <w14:ligatures w14:val="standardContextual"/>
            </w:rPr>
          </w:pPr>
          <w:hyperlink w:anchor="_Toc223979926" w:history="1">
            <w:r w:rsidR="00FE2635" w:rsidRPr="00CB58CE">
              <w:rPr>
                <w:rStyle w:val="Hyperlink"/>
                <w:rFonts w:ascii="Cambria" w:hAnsi="Cambria" w:cs="Cambria"/>
                <w:noProof/>
              </w:rPr>
              <w:t>CHAPTER 1</w:t>
            </w:r>
            <w:r w:rsidR="00FE2635">
              <w:rPr>
                <w:noProof/>
                <w:webHidden/>
              </w:rPr>
              <w:tab/>
            </w:r>
            <w:r w:rsidR="00FE2635">
              <w:rPr>
                <w:noProof/>
                <w:webHidden/>
              </w:rPr>
              <w:fldChar w:fldCharType="begin"/>
            </w:r>
            <w:r w:rsidR="00FE2635">
              <w:rPr>
                <w:noProof/>
                <w:webHidden/>
              </w:rPr>
              <w:instrText xml:space="preserve"> PAGEREF _Toc223979926 \h </w:instrText>
            </w:r>
            <w:r w:rsidR="00FE2635">
              <w:rPr>
                <w:noProof/>
                <w:webHidden/>
              </w:rPr>
            </w:r>
            <w:r w:rsidR="00FE2635">
              <w:rPr>
                <w:noProof/>
                <w:webHidden/>
              </w:rPr>
              <w:fldChar w:fldCharType="separate"/>
            </w:r>
            <w:r w:rsidR="00EB3DE7">
              <w:rPr>
                <w:noProof/>
                <w:webHidden/>
              </w:rPr>
              <w:t>6</w:t>
            </w:r>
            <w:r w:rsidR="00FE2635">
              <w:rPr>
                <w:noProof/>
                <w:webHidden/>
              </w:rPr>
              <w:fldChar w:fldCharType="end"/>
            </w:r>
          </w:hyperlink>
        </w:p>
        <w:p w14:paraId="15E172D0" w14:textId="36C39012" w:rsidR="00FE2635" w:rsidRDefault="002866FA">
          <w:pPr>
            <w:pStyle w:val="TOC1"/>
            <w:tabs>
              <w:tab w:val="left" w:pos="720"/>
              <w:tab w:val="right" w:leader="dot" w:pos="9016"/>
            </w:tabs>
            <w:rPr>
              <w:rFonts w:eastAsiaTheme="minorEastAsia" w:cstheme="minorBidi"/>
              <w:b w:val="0"/>
              <w:bCs w:val="0"/>
              <w:i w:val="0"/>
              <w:iCs w:val="0"/>
              <w:noProof/>
              <w:kern w:val="2"/>
              <w14:ligatures w14:val="standardContextual"/>
            </w:rPr>
          </w:pPr>
          <w:hyperlink w:anchor="_Toc223979927" w:history="1">
            <w:r w:rsidR="00FE2635" w:rsidRPr="00CB58CE">
              <w:rPr>
                <w:rStyle w:val="Hyperlink"/>
                <w:rFonts w:ascii="Cambria" w:hAnsi="Cambria" w:cs="Cambria"/>
                <w:noProof/>
              </w:rPr>
              <w:t>1.0</w:t>
            </w:r>
            <w:r w:rsidR="00FE2635">
              <w:rPr>
                <w:rFonts w:eastAsiaTheme="minorEastAsia" w:cstheme="minorBidi"/>
                <w:b w:val="0"/>
                <w:bCs w:val="0"/>
                <w:i w:val="0"/>
                <w:iCs w:val="0"/>
                <w:noProof/>
                <w:kern w:val="2"/>
                <w14:ligatures w14:val="standardContextual"/>
              </w:rPr>
              <w:tab/>
            </w:r>
            <w:r w:rsidR="00FE2635" w:rsidRPr="00CB58CE">
              <w:rPr>
                <w:rStyle w:val="Hyperlink"/>
                <w:rFonts w:ascii="Cambria" w:hAnsi="Cambria" w:cs="Cambria"/>
                <w:noProof/>
              </w:rPr>
              <w:t>INTRODUCTION</w:t>
            </w:r>
            <w:r w:rsidR="00FE2635">
              <w:rPr>
                <w:noProof/>
                <w:webHidden/>
              </w:rPr>
              <w:tab/>
            </w:r>
            <w:r w:rsidR="00FE2635">
              <w:rPr>
                <w:noProof/>
                <w:webHidden/>
              </w:rPr>
              <w:fldChar w:fldCharType="begin"/>
            </w:r>
            <w:r w:rsidR="00FE2635">
              <w:rPr>
                <w:noProof/>
                <w:webHidden/>
              </w:rPr>
              <w:instrText xml:space="preserve"> PAGEREF _Toc223979927 \h </w:instrText>
            </w:r>
            <w:r w:rsidR="00FE2635">
              <w:rPr>
                <w:noProof/>
                <w:webHidden/>
              </w:rPr>
            </w:r>
            <w:r w:rsidR="00FE2635">
              <w:rPr>
                <w:noProof/>
                <w:webHidden/>
              </w:rPr>
              <w:fldChar w:fldCharType="separate"/>
            </w:r>
            <w:r w:rsidR="00EB3DE7">
              <w:rPr>
                <w:noProof/>
                <w:webHidden/>
              </w:rPr>
              <w:t>6</w:t>
            </w:r>
            <w:r w:rsidR="00FE2635">
              <w:rPr>
                <w:noProof/>
                <w:webHidden/>
              </w:rPr>
              <w:fldChar w:fldCharType="end"/>
            </w:r>
          </w:hyperlink>
        </w:p>
        <w:p w14:paraId="04FE503C" w14:textId="100EDF48" w:rsidR="00FE2635" w:rsidRDefault="002866FA">
          <w:pPr>
            <w:pStyle w:val="TOC2"/>
            <w:tabs>
              <w:tab w:val="left" w:pos="960"/>
              <w:tab w:val="right" w:leader="dot" w:pos="9016"/>
            </w:tabs>
            <w:rPr>
              <w:rFonts w:eastAsiaTheme="minorEastAsia" w:cstheme="minorBidi"/>
              <w:b w:val="0"/>
              <w:bCs w:val="0"/>
              <w:noProof/>
              <w:kern w:val="2"/>
              <w:sz w:val="24"/>
              <w:szCs w:val="24"/>
              <w14:ligatures w14:val="standardContextual"/>
            </w:rPr>
          </w:pPr>
          <w:hyperlink w:anchor="_Toc223979928" w:history="1">
            <w:r w:rsidR="00FE2635" w:rsidRPr="00CB58CE">
              <w:rPr>
                <w:rStyle w:val="Hyperlink"/>
                <w:rFonts w:ascii="Cambria" w:hAnsi="Cambria" w:cs="Cambria"/>
                <w:noProof/>
              </w:rPr>
              <w:t>1.1</w:t>
            </w:r>
            <w:r w:rsidR="00FE2635">
              <w:rPr>
                <w:rFonts w:eastAsiaTheme="minorEastAsia" w:cstheme="minorBidi"/>
                <w:b w:val="0"/>
                <w:bCs w:val="0"/>
                <w:noProof/>
                <w:kern w:val="2"/>
                <w:sz w:val="24"/>
                <w:szCs w:val="24"/>
                <w14:ligatures w14:val="standardContextual"/>
              </w:rPr>
              <w:tab/>
            </w:r>
            <w:r w:rsidR="00FE2635" w:rsidRPr="00CB58CE">
              <w:rPr>
                <w:rStyle w:val="Hyperlink"/>
                <w:rFonts w:ascii="Cambria" w:hAnsi="Cambria" w:cs="Cambria"/>
                <w:noProof/>
              </w:rPr>
              <w:t>Background</w:t>
            </w:r>
            <w:r w:rsidR="00FE2635">
              <w:rPr>
                <w:noProof/>
                <w:webHidden/>
              </w:rPr>
              <w:tab/>
            </w:r>
            <w:r w:rsidR="00FE2635">
              <w:rPr>
                <w:noProof/>
                <w:webHidden/>
              </w:rPr>
              <w:fldChar w:fldCharType="begin"/>
            </w:r>
            <w:r w:rsidR="00FE2635">
              <w:rPr>
                <w:noProof/>
                <w:webHidden/>
              </w:rPr>
              <w:instrText xml:space="preserve"> PAGEREF _Toc223979928 \h </w:instrText>
            </w:r>
            <w:r w:rsidR="00FE2635">
              <w:rPr>
                <w:noProof/>
                <w:webHidden/>
              </w:rPr>
            </w:r>
            <w:r w:rsidR="00FE2635">
              <w:rPr>
                <w:noProof/>
                <w:webHidden/>
              </w:rPr>
              <w:fldChar w:fldCharType="separate"/>
            </w:r>
            <w:r w:rsidR="00EB3DE7">
              <w:rPr>
                <w:noProof/>
                <w:webHidden/>
              </w:rPr>
              <w:t>6</w:t>
            </w:r>
            <w:r w:rsidR="00FE2635">
              <w:rPr>
                <w:noProof/>
                <w:webHidden/>
              </w:rPr>
              <w:fldChar w:fldCharType="end"/>
            </w:r>
          </w:hyperlink>
        </w:p>
        <w:p w14:paraId="2B58C9E4" w14:textId="6A48CD75" w:rsidR="00FE2635" w:rsidRDefault="002866FA">
          <w:pPr>
            <w:pStyle w:val="TOC2"/>
            <w:tabs>
              <w:tab w:val="left" w:pos="960"/>
              <w:tab w:val="right" w:leader="dot" w:pos="9016"/>
            </w:tabs>
            <w:rPr>
              <w:rFonts w:eastAsiaTheme="minorEastAsia" w:cstheme="minorBidi"/>
              <w:b w:val="0"/>
              <w:bCs w:val="0"/>
              <w:noProof/>
              <w:kern w:val="2"/>
              <w:sz w:val="24"/>
              <w:szCs w:val="24"/>
              <w14:ligatures w14:val="standardContextual"/>
            </w:rPr>
          </w:pPr>
          <w:hyperlink w:anchor="_Toc223979929" w:history="1">
            <w:r w:rsidR="00FE2635" w:rsidRPr="00CB58CE">
              <w:rPr>
                <w:rStyle w:val="Hyperlink"/>
                <w:rFonts w:ascii="Cambria" w:hAnsi="Cambria" w:cs="Cambria"/>
                <w:noProof/>
              </w:rPr>
              <w:t>1.2</w:t>
            </w:r>
            <w:r w:rsidR="00FE2635">
              <w:rPr>
                <w:rFonts w:eastAsiaTheme="minorEastAsia" w:cstheme="minorBidi"/>
                <w:b w:val="0"/>
                <w:bCs w:val="0"/>
                <w:noProof/>
                <w:kern w:val="2"/>
                <w:sz w:val="24"/>
                <w:szCs w:val="24"/>
                <w14:ligatures w14:val="standardContextual"/>
              </w:rPr>
              <w:tab/>
            </w:r>
            <w:r w:rsidR="00FE2635" w:rsidRPr="00CB58CE">
              <w:rPr>
                <w:rStyle w:val="Hyperlink"/>
                <w:rFonts w:ascii="Cambria" w:hAnsi="Cambria" w:cs="Cambria"/>
                <w:noProof/>
              </w:rPr>
              <w:t>Policy Context and Rationale</w:t>
            </w:r>
            <w:r w:rsidR="00FE2635">
              <w:rPr>
                <w:noProof/>
                <w:webHidden/>
              </w:rPr>
              <w:tab/>
            </w:r>
            <w:r w:rsidR="00FE2635">
              <w:rPr>
                <w:noProof/>
                <w:webHidden/>
              </w:rPr>
              <w:fldChar w:fldCharType="begin"/>
            </w:r>
            <w:r w:rsidR="00FE2635">
              <w:rPr>
                <w:noProof/>
                <w:webHidden/>
              </w:rPr>
              <w:instrText xml:space="preserve"> PAGEREF _Toc223979929 \h </w:instrText>
            </w:r>
            <w:r w:rsidR="00FE2635">
              <w:rPr>
                <w:noProof/>
                <w:webHidden/>
              </w:rPr>
            </w:r>
            <w:r w:rsidR="00FE2635">
              <w:rPr>
                <w:noProof/>
                <w:webHidden/>
              </w:rPr>
              <w:fldChar w:fldCharType="separate"/>
            </w:r>
            <w:r w:rsidR="00EB3DE7">
              <w:rPr>
                <w:noProof/>
                <w:webHidden/>
              </w:rPr>
              <w:t>6</w:t>
            </w:r>
            <w:r w:rsidR="00FE2635">
              <w:rPr>
                <w:noProof/>
                <w:webHidden/>
              </w:rPr>
              <w:fldChar w:fldCharType="end"/>
            </w:r>
          </w:hyperlink>
        </w:p>
        <w:p w14:paraId="0845FD3C" w14:textId="1E70A24A" w:rsidR="00FE2635" w:rsidRDefault="002866FA">
          <w:pPr>
            <w:pStyle w:val="TOC2"/>
            <w:tabs>
              <w:tab w:val="left" w:pos="960"/>
              <w:tab w:val="right" w:leader="dot" w:pos="9016"/>
            </w:tabs>
            <w:rPr>
              <w:rFonts w:eastAsiaTheme="minorEastAsia" w:cstheme="minorBidi"/>
              <w:b w:val="0"/>
              <w:bCs w:val="0"/>
              <w:noProof/>
              <w:kern w:val="2"/>
              <w:sz w:val="24"/>
              <w:szCs w:val="24"/>
              <w14:ligatures w14:val="standardContextual"/>
            </w:rPr>
          </w:pPr>
          <w:hyperlink w:anchor="_Toc223979930" w:history="1">
            <w:r w:rsidR="00FE2635" w:rsidRPr="00CB58CE">
              <w:rPr>
                <w:rStyle w:val="Hyperlink"/>
                <w:rFonts w:ascii="Cambria" w:hAnsi="Cambria" w:cs="Cambria"/>
                <w:noProof/>
              </w:rPr>
              <w:t>1.3</w:t>
            </w:r>
            <w:r w:rsidR="00FE2635">
              <w:rPr>
                <w:rFonts w:eastAsiaTheme="minorEastAsia" w:cstheme="minorBidi"/>
                <w:b w:val="0"/>
                <w:bCs w:val="0"/>
                <w:noProof/>
                <w:kern w:val="2"/>
                <w:sz w:val="24"/>
                <w:szCs w:val="24"/>
                <w14:ligatures w14:val="standardContextual"/>
              </w:rPr>
              <w:tab/>
            </w:r>
            <w:r w:rsidR="00FE2635" w:rsidRPr="00CB58CE">
              <w:rPr>
                <w:rStyle w:val="Hyperlink"/>
                <w:rFonts w:ascii="Cambria" w:hAnsi="Cambria" w:cs="Cambria"/>
                <w:noProof/>
              </w:rPr>
              <w:t>Scope of this Document</w:t>
            </w:r>
            <w:r w:rsidR="00FE2635">
              <w:rPr>
                <w:noProof/>
                <w:webHidden/>
              </w:rPr>
              <w:tab/>
            </w:r>
            <w:r w:rsidR="00FE2635">
              <w:rPr>
                <w:noProof/>
                <w:webHidden/>
              </w:rPr>
              <w:fldChar w:fldCharType="begin"/>
            </w:r>
            <w:r w:rsidR="00FE2635">
              <w:rPr>
                <w:noProof/>
                <w:webHidden/>
              </w:rPr>
              <w:instrText xml:space="preserve"> PAGEREF _Toc223979930 \h </w:instrText>
            </w:r>
            <w:r w:rsidR="00FE2635">
              <w:rPr>
                <w:noProof/>
                <w:webHidden/>
              </w:rPr>
            </w:r>
            <w:r w:rsidR="00FE2635">
              <w:rPr>
                <w:noProof/>
                <w:webHidden/>
              </w:rPr>
              <w:fldChar w:fldCharType="separate"/>
            </w:r>
            <w:r w:rsidR="00EB3DE7">
              <w:rPr>
                <w:noProof/>
                <w:webHidden/>
              </w:rPr>
              <w:t>7</w:t>
            </w:r>
            <w:r w:rsidR="00FE2635">
              <w:rPr>
                <w:noProof/>
                <w:webHidden/>
              </w:rPr>
              <w:fldChar w:fldCharType="end"/>
            </w:r>
          </w:hyperlink>
        </w:p>
        <w:p w14:paraId="00108C44" w14:textId="67230AD3" w:rsidR="00FE2635" w:rsidRDefault="002866FA">
          <w:pPr>
            <w:pStyle w:val="TOC1"/>
            <w:tabs>
              <w:tab w:val="right" w:leader="dot" w:pos="9016"/>
            </w:tabs>
            <w:rPr>
              <w:rFonts w:eastAsiaTheme="minorEastAsia" w:cstheme="minorBidi"/>
              <w:b w:val="0"/>
              <w:bCs w:val="0"/>
              <w:i w:val="0"/>
              <w:iCs w:val="0"/>
              <w:noProof/>
              <w:kern w:val="2"/>
              <w14:ligatures w14:val="standardContextual"/>
            </w:rPr>
          </w:pPr>
          <w:hyperlink w:anchor="_Toc223979931" w:history="1">
            <w:r w:rsidR="00FE2635" w:rsidRPr="00CB58CE">
              <w:rPr>
                <w:rStyle w:val="Hyperlink"/>
                <w:rFonts w:ascii="Cambria" w:hAnsi="Cambria" w:cs="Cambria"/>
                <w:noProof/>
              </w:rPr>
              <w:t>CHAPTER 2</w:t>
            </w:r>
            <w:r w:rsidR="00FE2635">
              <w:rPr>
                <w:noProof/>
                <w:webHidden/>
              </w:rPr>
              <w:tab/>
            </w:r>
            <w:r w:rsidR="00FE2635">
              <w:rPr>
                <w:noProof/>
                <w:webHidden/>
              </w:rPr>
              <w:fldChar w:fldCharType="begin"/>
            </w:r>
            <w:r w:rsidR="00FE2635">
              <w:rPr>
                <w:noProof/>
                <w:webHidden/>
              </w:rPr>
              <w:instrText xml:space="preserve"> PAGEREF _Toc223979931 \h </w:instrText>
            </w:r>
            <w:r w:rsidR="00FE2635">
              <w:rPr>
                <w:noProof/>
                <w:webHidden/>
              </w:rPr>
            </w:r>
            <w:r w:rsidR="00FE2635">
              <w:rPr>
                <w:noProof/>
                <w:webHidden/>
              </w:rPr>
              <w:fldChar w:fldCharType="separate"/>
            </w:r>
            <w:r w:rsidR="00EB3DE7">
              <w:rPr>
                <w:noProof/>
                <w:webHidden/>
              </w:rPr>
              <w:t>8</w:t>
            </w:r>
            <w:r w:rsidR="00FE2635">
              <w:rPr>
                <w:noProof/>
                <w:webHidden/>
              </w:rPr>
              <w:fldChar w:fldCharType="end"/>
            </w:r>
          </w:hyperlink>
        </w:p>
        <w:p w14:paraId="15E1B94A" w14:textId="6588A816" w:rsidR="00FE2635" w:rsidRDefault="002866FA">
          <w:pPr>
            <w:pStyle w:val="TOC1"/>
            <w:tabs>
              <w:tab w:val="left" w:pos="720"/>
              <w:tab w:val="right" w:leader="dot" w:pos="9016"/>
            </w:tabs>
            <w:rPr>
              <w:rFonts w:eastAsiaTheme="minorEastAsia" w:cstheme="minorBidi"/>
              <w:b w:val="0"/>
              <w:bCs w:val="0"/>
              <w:i w:val="0"/>
              <w:iCs w:val="0"/>
              <w:noProof/>
              <w:kern w:val="2"/>
              <w14:ligatures w14:val="standardContextual"/>
            </w:rPr>
          </w:pPr>
          <w:hyperlink w:anchor="_Toc223979932" w:history="1">
            <w:r w:rsidR="00FE2635" w:rsidRPr="00CB58CE">
              <w:rPr>
                <w:rStyle w:val="Hyperlink"/>
                <w:rFonts w:ascii="Cambria" w:hAnsi="Cambria" w:cs="Cambria"/>
                <w:noProof/>
              </w:rPr>
              <w:t>2.0</w:t>
            </w:r>
            <w:r w:rsidR="00FE2635">
              <w:rPr>
                <w:rFonts w:eastAsiaTheme="minorEastAsia" w:cstheme="minorBidi"/>
                <w:b w:val="0"/>
                <w:bCs w:val="0"/>
                <w:i w:val="0"/>
                <w:iCs w:val="0"/>
                <w:noProof/>
                <w:kern w:val="2"/>
                <w14:ligatures w14:val="standardContextual"/>
              </w:rPr>
              <w:tab/>
            </w:r>
            <w:r w:rsidR="00FE2635" w:rsidRPr="00CB58CE">
              <w:rPr>
                <w:rStyle w:val="Hyperlink"/>
                <w:rFonts w:ascii="Cambria" w:hAnsi="Cambria" w:cs="Cambria"/>
                <w:noProof/>
              </w:rPr>
              <w:t>EXISTING NATIONAL ROAMING ARRANGEMENTS</w:t>
            </w:r>
            <w:r w:rsidR="00FE2635">
              <w:rPr>
                <w:noProof/>
                <w:webHidden/>
              </w:rPr>
              <w:tab/>
            </w:r>
            <w:r w:rsidR="00FE2635">
              <w:rPr>
                <w:noProof/>
                <w:webHidden/>
              </w:rPr>
              <w:fldChar w:fldCharType="begin"/>
            </w:r>
            <w:r w:rsidR="00FE2635">
              <w:rPr>
                <w:noProof/>
                <w:webHidden/>
              </w:rPr>
              <w:instrText xml:space="preserve"> PAGEREF _Toc223979932 \h </w:instrText>
            </w:r>
            <w:r w:rsidR="00FE2635">
              <w:rPr>
                <w:noProof/>
                <w:webHidden/>
              </w:rPr>
            </w:r>
            <w:r w:rsidR="00FE2635">
              <w:rPr>
                <w:noProof/>
                <w:webHidden/>
              </w:rPr>
              <w:fldChar w:fldCharType="separate"/>
            </w:r>
            <w:r w:rsidR="00EB3DE7">
              <w:rPr>
                <w:noProof/>
                <w:webHidden/>
              </w:rPr>
              <w:t>8</w:t>
            </w:r>
            <w:r w:rsidR="00FE2635">
              <w:rPr>
                <w:noProof/>
                <w:webHidden/>
              </w:rPr>
              <w:fldChar w:fldCharType="end"/>
            </w:r>
          </w:hyperlink>
        </w:p>
        <w:p w14:paraId="0F8E0249" w14:textId="4D544E17" w:rsidR="00FE2635" w:rsidRDefault="002866FA">
          <w:pPr>
            <w:pStyle w:val="TOC2"/>
            <w:tabs>
              <w:tab w:val="left" w:pos="960"/>
              <w:tab w:val="right" w:leader="dot" w:pos="9016"/>
            </w:tabs>
            <w:rPr>
              <w:rFonts w:eastAsiaTheme="minorEastAsia" w:cstheme="minorBidi"/>
              <w:b w:val="0"/>
              <w:bCs w:val="0"/>
              <w:noProof/>
              <w:kern w:val="2"/>
              <w:sz w:val="24"/>
              <w:szCs w:val="24"/>
              <w14:ligatures w14:val="standardContextual"/>
            </w:rPr>
          </w:pPr>
          <w:hyperlink w:anchor="_Toc223979933" w:history="1">
            <w:r w:rsidR="00FE2635" w:rsidRPr="00CB58CE">
              <w:rPr>
                <w:rStyle w:val="Hyperlink"/>
                <w:rFonts w:ascii="Cambria" w:hAnsi="Cambria" w:cs="Cambria"/>
                <w:noProof/>
              </w:rPr>
              <w:t>2.1</w:t>
            </w:r>
            <w:r w:rsidR="00FE2635">
              <w:rPr>
                <w:rFonts w:eastAsiaTheme="minorEastAsia" w:cstheme="minorBidi"/>
                <w:b w:val="0"/>
                <w:bCs w:val="0"/>
                <w:noProof/>
                <w:kern w:val="2"/>
                <w:sz w:val="24"/>
                <w:szCs w:val="24"/>
                <w14:ligatures w14:val="standardContextual"/>
              </w:rPr>
              <w:tab/>
            </w:r>
            <w:r w:rsidR="00FE2635" w:rsidRPr="00CB58CE">
              <w:rPr>
                <w:rStyle w:val="Hyperlink"/>
                <w:rFonts w:ascii="Cambria" w:hAnsi="Cambria" w:cs="Cambria"/>
                <w:noProof/>
              </w:rPr>
              <w:t>Regulatory and Market framework</w:t>
            </w:r>
            <w:r w:rsidR="00FE2635">
              <w:rPr>
                <w:noProof/>
                <w:webHidden/>
              </w:rPr>
              <w:tab/>
            </w:r>
            <w:r w:rsidR="00FE2635">
              <w:rPr>
                <w:noProof/>
                <w:webHidden/>
              </w:rPr>
              <w:fldChar w:fldCharType="begin"/>
            </w:r>
            <w:r w:rsidR="00FE2635">
              <w:rPr>
                <w:noProof/>
                <w:webHidden/>
              </w:rPr>
              <w:instrText xml:space="preserve"> PAGEREF _Toc223979933 \h </w:instrText>
            </w:r>
            <w:r w:rsidR="00FE2635">
              <w:rPr>
                <w:noProof/>
                <w:webHidden/>
              </w:rPr>
            </w:r>
            <w:r w:rsidR="00FE2635">
              <w:rPr>
                <w:noProof/>
                <w:webHidden/>
              </w:rPr>
              <w:fldChar w:fldCharType="separate"/>
            </w:r>
            <w:r w:rsidR="00EB3DE7">
              <w:rPr>
                <w:noProof/>
                <w:webHidden/>
              </w:rPr>
              <w:t>8</w:t>
            </w:r>
            <w:r w:rsidR="00FE2635">
              <w:rPr>
                <w:noProof/>
                <w:webHidden/>
              </w:rPr>
              <w:fldChar w:fldCharType="end"/>
            </w:r>
          </w:hyperlink>
        </w:p>
        <w:p w14:paraId="55FA66B4" w14:textId="00E1576B" w:rsidR="00FE2635" w:rsidRDefault="002866FA">
          <w:pPr>
            <w:pStyle w:val="TOC2"/>
            <w:tabs>
              <w:tab w:val="left" w:pos="960"/>
              <w:tab w:val="right" w:leader="dot" w:pos="9016"/>
            </w:tabs>
            <w:rPr>
              <w:rFonts w:eastAsiaTheme="minorEastAsia" w:cstheme="minorBidi"/>
              <w:b w:val="0"/>
              <w:bCs w:val="0"/>
              <w:noProof/>
              <w:kern w:val="2"/>
              <w:sz w:val="24"/>
              <w:szCs w:val="24"/>
              <w14:ligatures w14:val="standardContextual"/>
            </w:rPr>
          </w:pPr>
          <w:hyperlink w:anchor="_Toc223979934" w:history="1">
            <w:r w:rsidR="00FE2635" w:rsidRPr="00CB58CE">
              <w:rPr>
                <w:rStyle w:val="Hyperlink"/>
                <w:rFonts w:ascii="Cambria" w:hAnsi="Cambria" w:cs="Cambria"/>
                <w:noProof/>
              </w:rPr>
              <w:t>2.2</w:t>
            </w:r>
            <w:r w:rsidR="00FE2635">
              <w:rPr>
                <w:rFonts w:eastAsiaTheme="minorEastAsia" w:cstheme="minorBidi"/>
                <w:b w:val="0"/>
                <w:bCs w:val="0"/>
                <w:noProof/>
                <w:kern w:val="2"/>
                <w:sz w:val="24"/>
                <w:szCs w:val="24"/>
                <w14:ligatures w14:val="standardContextual"/>
              </w:rPr>
              <w:tab/>
            </w:r>
            <w:r w:rsidR="00FE2635" w:rsidRPr="00CB58CE">
              <w:rPr>
                <w:rStyle w:val="Hyperlink"/>
                <w:rFonts w:ascii="Cambria" w:hAnsi="Cambria" w:cs="Cambria"/>
                <w:noProof/>
              </w:rPr>
              <w:t>Existing National Roaming Data Rate Arrangements</w:t>
            </w:r>
            <w:r w:rsidR="00FE2635">
              <w:rPr>
                <w:noProof/>
                <w:webHidden/>
              </w:rPr>
              <w:tab/>
            </w:r>
            <w:r w:rsidR="00FE2635">
              <w:rPr>
                <w:noProof/>
                <w:webHidden/>
              </w:rPr>
              <w:fldChar w:fldCharType="begin"/>
            </w:r>
            <w:r w:rsidR="00FE2635">
              <w:rPr>
                <w:noProof/>
                <w:webHidden/>
              </w:rPr>
              <w:instrText xml:space="preserve"> PAGEREF _Toc223979934 \h </w:instrText>
            </w:r>
            <w:r w:rsidR="00FE2635">
              <w:rPr>
                <w:noProof/>
                <w:webHidden/>
              </w:rPr>
            </w:r>
            <w:r w:rsidR="00FE2635">
              <w:rPr>
                <w:noProof/>
                <w:webHidden/>
              </w:rPr>
              <w:fldChar w:fldCharType="separate"/>
            </w:r>
            <w:r w:rsidR="00EB3DE7">
              <w:rPr>
                <w:noProof/>
                <w:webHidden/>
              </w:rPr>
              <w:t>8</w:t>
            </w:r>
            <w:r w:rsidR="00FE2635">
              <w:rPr>
                <w:noProof/>
                <w:webHidden/>
              </w:rPr>
              <w:fldChar w:fldCharType="end"/>
            </w:r>
          </w:hyperlink>
        </w:p>
        <w:p w14:paraId="0242FA47" w14:textId="3124914A" w:rsidR="00FE2635" w:rsidRDefault="002866FA">
          <w:pPr>
            <w:pStyle w:val="TOC2"/>
            <w:tabs>
              <w:tab w:val="left" w:pos="960"/>
              <w:tab w:val="right" w:leader="dot" w:pos="9016"/>
            </w:tabs>
            <w:rPr>
              <w:rFonts w:eastAsiaTheme="minorEastAsia" w:cstheme="minorBidi"/>
              <w:b w:val="0"/>
              <w:bCs w:val="0"/>
              <w:noProof/>
              <w:kern w:val="2"/>
              <w:sz w:val="24"/>
              <w:szCs w:val="24"/>
              <w14:ligatures w14:val="standardContextual"/>
            </w:rPr>
          </w:pPr>
          <w:hyperlink w:anchor="_Toc223979935" w:history="1">
            <w:r w:rsidR="00FE2635" w:rsidRPr="00CB58CE">
              <w:rPr>
                <w:rStyle w:val="Hyperlink"/>
                <w:rFonts w:ascii="Cambria" w:hAnsi="Cambria" w:cs="Cambria"/>
                <w:noProof/>
              </w:rPr>
              <w:t>2.3</w:t>
            </w:r>
            <w:r w:rsidR="00FE2635">
              <w:rPr>
                <w:rFonts w:eastAsiaTheme="minorEastAsia" w:cstheme="minorBidi"/>
                <w:b w:val="0"/>
                <w:bCs w:val="0"/>
                <w:noProof/>
                <w:kern w:val="2"/>
                <w:sz w:val="24"/>
                <w:szCs w:val="24"/>
                <w14:ligatures w14:val="standardContextual"/>
              </w:rPr>
              <w:tab/>
            </w:r>
            <w:r w:rsidR="00FE2635" w:rsidRPr="00CB58CE">
              <w:rPr>
                <w:rStyle w:val="Hyperlink"/>
                <w:rFonts w:ascii="Cambria" w:hAnsi="Cambria" w:cs="Cambria"/>
                <w:noProof/>
              </w:rPr>
              <w:t>Limitations of the Existing Bilateral Roaming Framework</w:t>
            </w:r>
            <w:r w:rsidR="00FE2635">
              <w:rPr>
                <w:noProof/>
                <w:webHidden/>
              </w:rPr>
              <w:tab/>
            </w:r>
            <w:r w:rsidR="00FE2635">
              <w:rPr>
                <w:noProof/>
                <w:webHidden/>
              </w:rPr>
              <w:fldChar w:fldCharType="begin"/>
            </w:r>
            <w:r w:rsidR="00FE2635">
              <w:rPr>
                <w:noProof/>
                <w:webHidden/>
              </w:rPr>
              <w:instrText xml:space="preserve"> PAGEREF _Toc223979935 \h </w:instrText>
            </w:r>
            <w:r w:rsidR="00FE2635">
              <w:rPr>
                <w:noProof/>
                <w:webHidden/>
              </w:rPr>
            </w:r>
            <w:r w:rsidR="00FE2635">
              <w:rPr>
                <w:noProof/>
                <w:webHidden/>
              </w:rPr>
              <w:fldChar w:fldCharType="separate"/>
            </w:r>
            <w:r w:rsidR="00EB3DE7">
              <w:rPr>
                <w:noProof/>
                <w:webHidden/>
              </w:rPr>
              <w:t>8</w:t>
            </w:r>
            <w:r w:rsidR="00FE2635">
              <w:rPr>
                <w:noProof/>
                <w:webHidden/>
              </w:rPr>
              <w:fldChar w:fldCharType="end"/>
            </w:r>
          </w:hyperlink>
        </w:p>
        <w:p w14:paraId="5E8832DC" w14:textId="41C53055" w:rsidR="00FE2635" w:rsidRDefault="002866FA">
          <w:pPr>
            <w:pStyle w:val="TOC2"/>
            <w:tabs>
              <w:tab w:val="left" w:pos="960"/>
              <w:tab w:val="right" w:leader="dot" w:pos="9016"/>
            </w:tabs>
            <w:rPr>
              <w:rFonts w:eastAsiaTheme="minorEastAsia" w:cstheme="minorBidi"/>
              <w:b w:val="0"/>
              <w:bCs w:val="0"/>
              <w:noProof/>
              <w:kern w:val="2"/>
              <w:sz w:val="24"/>
              <w:szCs w:val="24"/>
              <w14:ligatures w14:val="standardContextual"/>
            </w:rPr>
          </w:pPr>
          <w:hyperlink w:anchor="_Toc223979936" w:history="1">
            <w:r w:rsidR="00FE2635" w:rsidRPr="00CB58CE">
              <w:rPr>
                <w:rStyle w:val="Hyperlink"/>
                <w:rFonts w:ascii="Cambria" w:hAnsi="Cambria" w:cs="Cambria"/>
                <w:noProof/>
              </w:rPr>
              <w:t>2.4</w:t>
            </w:r>
            <w:r w:rsidR="00FE2635">
              <w:rPr>
                <w:rFonts w:eastAsiaTheme="minorEastAsia" w:cstheme="minorBidi"/>
                <w:b w:val="0"/>
                <w:bCs w:val="0"/>
                <w:noProof/>
                <w:kern w:val="2"/>
                <w:sz w:val="24"/>
                <w:szCs w:val="24"/>
                <w14:ligatures w14:val="standardContextual"/>
              </w:rPr>
              <w:tab/>
            </w:r>
            <w:r w:rsidR="00FE2635" w:rsidRPr="00CB58CE">
              <w:rPr>
                <w:rStyle w:val="Hyperlink"/>
                <w:rFonts w:ascii="Cambria" w:hAnsi="Cambria" w:cs="Cambria"/>
                <w:noProof/>
              </w:rPr>
              <w:t>Margin Squeeze Risks</w:t>
            </w:r>
            <w:r w:rsidR="00FE2635">
              <w:rPr>
                <w:noProof/>
                <w:webHidden/>
              </w:rPr>
              <w:tab/>
            </w:r>
            <w:r w:rsidR="00FE2635">
              <w:rPr>
                <w:noProof/>
                <w:webHidden/>
              </w:rPr>
              <w:fldChar w:fldCharType="begin"/>
            </w:r>
            <w:r w:rsidR="00FE2635">
              <w:rPr>
                <w:noProof/>
                <w:webHidden/>
              </w:rPr>
              <w:instrText xml:space="preserve"> PAGEREF _Toc223979936 \h </w:instrText>
            </w:r>
            <w:r w:rsidR="00FE2635">
              <w:rPr>
                <w:noProof/>
                <w:webHidden/>
              </w:rPr>
            </w:r>
            <w:r w:rsidR="00FE2635">
              <w:rPr>
                <w:noProof/>
                <w:webHidden/>
              </w:rPr>
              <w:fldChar w:fldCharType="separate"/>
            </w:r>
            <w:r w:rsidR="00EB3DE7">
              <w:rPr>
                <w:noProof/>
                <w:webHidden/>
              </w:rPr>
              <w:t>9</w:t>
            </w:r>
            <w:r w:rsidR="00FE2635">
              <w:rPr>
                <w:noProof/>
                <w:webHidden/>
              </w:rPr>
              <w:fldChar w:fldCharType="end"/>
            </w:r>
          </w:hyperlink>
        </w:p>
        <w:p w14:paraId="2A13FD30" w14:textId="45CCEB9B" w:rsidR="00FE2635" w:rsidRDefault="002866FA">
          <w:pPr>
            <w:pStyle w:val="TOC1"/>
            <w:tabs>
              <w:tab w:val="right" w:leader="dot" w:pos="9016"/>
            </w:tabs>
            <w:rPr>
              <w:rFonts w:eastAsiaTheme="minorEastAsia" w:cstheme="minorBidi"/>
              <w:b w:val="0"/>
              <w:bCs w:val="0"/>
              <w:i w:val="0"/>
              <w:iCs w:val="0"/>
              <w:noProof/>
              <w:kern w:val="2"/>
              <w14:ligatures w14:val="standardContextual"/>
            </w:rPr>
          </w:pPr>
          <w:hyperlink w:anchor="_Toc223979937" w:history="1">
            <w:r w:rsidR="00FE2635" w:rsidRPr="00CB58CE">
              <w:rPr>
                <w:rStyle w:val="Hyperlink"/>
                <w:rFonts w:ascii="Cambria" w:hAnsi="Cambria" w:cs="Cambria"/>
                <w:noProof/>
              </w:rPr>
              <w:t>CHAPTER 3</w:t>
            </w:r>
            <w:r w:rsidR="00FE2635">
              <w:rPr>
                <w:noProof/>
                <w:webHidden/>
              </w:rPr>
              <w:tab/>
            </w:r>
            <w:r w:rsidR="00FE2635">
              <w:rPr>
                <w:noProof/>
                <w:webHidden/>
              </w:rPr>
              <w:fldChar w:fldCharType="begin"/>
            </w:r>
            <w:r w:rsidR="00FE2635">
              <w:rPr>
                <w:noProof/>
                <w:webHidden/>
              </w:rPr>
              <w:instrText xml:space="preserve"> PAGEREF _Toc223979937 \h </w:instrText>
            </w:r>
            <w:r w:rsidR="00FE2635">
              <w:rPr>
                <w:noProof/>
                <w:webHidden/>
              </w:rPr>
            </w:r>
            <w:r w:rsidR="00FE2635">
              <w:rPr>
                <w:noProof/>
                <w:webHidden/>
              </w:rPr>
              <w:fldChar w:fldCharType="separate"/>
            </w:r>
            <w:r w:rsidR="00EB3DE7">
              <w:rPr>
                <w:noProof/>
                <w:webHidden/>
              </w:rPr>
              <w:t>10</w:t>
            </w:r>
            <w:r w:rsidR="00FE2635">
              <w:rPr>
                <w:noProof/>
                <w:webHidden/>
              </w:rPr>
              <w:fldChar w:fldCharType="end"/>
            </w:r>
          </w:hyperlink>
        </w:p>
        <w:p w14:paraId="5BE4EE0E" w14:textId="3D8C55DC" w:rsidR="00FE2635" w:rsidRDefault="002866FA">
          <w:pPr>
            <w:pStyle w:val="TOC1"/>
            <w:tabs>
              <w:tab w:val="left" w:pos="720"/>
              <w:tab w:val="right" w:leader="dot" w:pos="9016"/>
            </w:tabs>
            <w:rPr>
              <w:rFonts w:eastAsiaTheme="minorEastAsia" w:cstheme="minorBidi"/>
              <w:b w:val="0"/>
              <w:bCs w:val="0"/>
              <w:i w:val="0"/>
              <w:iCs w:val="0"/>
              <w:noProof/>
              <w:kern w:val="2"/>
              <w14:ligatures w14:val="standardContextual"/>
            </w:rPr>
          </w:pPr>
          <w:hyperlink w:anchor="_Toc223979938" w:history="1">
            <w:r w:rsidR="00FE2635" w:rsidRPr="00CB58CE">
              <w:rPr>
                <w:rStyle w:val="Hyperlink"/>
                <w:rFonts w:ascii="Cambria" w:hAnsi="Cambria" w:cs="Cambria"/>
                <w:noProof/>
              </w:rPr>
              <w:t>3.0</w:t>
            </w:r>
            <w:r w:rsidR="00FE2635">
              <w:rPr>
                <w:rFonts w:eastAsiaTheme="minorEastAsia" w:cstheme="minorBidi"/>
                <w:b w:val="0"/>
                <w:bCs w:val="0"/>
                <w:i w:val="0"/>
                <w:iCs w:val="0"/>
                <w:noProof/>
                <w:kern w:val="2"/>
                <w14:ligatures w14:val="standardContextual"/>
              </w:rPr>
              <w:tab/>
            </w:r>
            <w:r w:rsidR="00FE2635" w:rsidRPr="00CB58CE">
              <w:rPr>
                <w:rStyle w:val="Hyperlink"/>
                <w:rFonts w:ascii="Cambria" w:hAnsi="Cambria" w:cs="Cambria"/>
                <w:noProof/>
              </w:rPr>
              <w:t>FRAMEWORK FOR REGULATING NATIONAL ROAMING WHOLESALE RATES</w:t>
            </w:r>
            <w:r w:rsidR="00FE2635">
              <w:rPr>
                <w:noProof/>
                <w:webHidden/>
              </w:rPr>
              <w:tab/>
            </w:r>
            <w:r w:rsidR="00FE2635">
              <w:rPr>
                <w:noProof/>
                <w:webHidden/>
              </w:rPr>
              <w:fldChar w:fldCharType="begin"/>
            </w:r>
            <w:r w:rsidR="00FE2635">
              <w:rPr>
                <w:noProof/>
                <w:webHidden/>
              </w:rPr>
              <w:instrText xml:space="preserve"> PAGEREF _Toc223979938 \h </w:instrText>
            </w:r>
            <w:r w:rsidR="00FE2635">
              <w:rPr>
                <w:noProof/>
                <w:webHidden/>
              </w:rPr>
            </w:r>
            <w:r w:rsidR="00FE2635">
              <w:rPr>
                <w:noProof/>
                <w:webHidden/>
              </w:rPr>
              <w:fldChar w:fldCharType="separate"/>
            </w:r>
            <w:r w:rsidR="00EB3DE7">
              <w:rPr>
                <w:noProof/>
                <w:webHidden/>
              </w:rPr>
              <w:t>10</w:t>
            </w:r>
            <w:r w:rsidR="00FE2635">
              <w:rPr>
                <w:noProof/>
                <w:webHidden/>
              </w:rPr>
              <w:fldChar w:fldCharType="end"/>
            </w:r>
          </w:hyperlink>
        </w:p>
        <w:p w14:paraId="788D8432" w14:textId="1D8E9980" w:rsidR="00FE2635" w:rsidRDefault="002866FA">
          <w:pPr>
            <w:pStyle w:val="TOC2"/>
            <w:tabs>
              <w:tab w:val="left" w:pos="960"/>
              <w:tab w:val="right" w:leader="dot" w:pos="9016"/>
            </w:tabs>
            <w:rPr>
              <w:rFonts w:eastAsiaTheme="minorEastAsia" w:cstheme="minorBidi"/>
              <w:b w:val="0"/>
              <w:bCs w:val="0"/>
              <w:noProof/>
              <w:kern w:val="2"/>
              <w:sz w:val="24"/>
              <w:szCs w:val="24"/>
              <w14:ligatures w14:val="standardContextual"/>
            </w:rPr>
          </w:pPr>
          <w:hyperlink w:anchor="_Toc223979939" w:history="1">
            <w:r w:rsidR="00FE2635" w:rsidRPr="00CB58CE">
              <w:rPr>
                <w:rStyle w:val="Hyperlink"/>
                <w:rFonts w:ascii="Cambria" w:hAnsi="Cambria" w:cs="Cambria"/>
                <w:noProof/>
              </w:rPr>
              <w:t>3.1</w:t>
            </w:r>
            <w:r w:rsidR="00FE2635">
              <w:rPr>
                <w:rFonts w:eastAsiaTheme="minorEastAsia" w:cstheme="minorBidi"/>
                <w:b w:val="0"/>
                <w:bCs w:val="0"/>
                <w:noProof/>
                <w:kern w:val="2"/>
                <w:sz w:val="24"/>
                <w:szCs w:val="24"/>
                <w14:ligatures w14:val="standardContextual"/>
              </w:rPr>
              <w:tab/>
            </w:r>
            <w:r w:rsidR="00FE2635" w:rsidRPr="00CB58CE">
              <w:rPr>
                <w:rStyle w:val="Hyperlink"/>
                <w:rFonts w:ascii="Cambria" w:hAnsi="Cambria"/>
                <w:noProof/>
              </w:rPr>
              <w:t>Methodology for Determining Wholesale Rates</w:t>
            </w:r>
            <w:r w:rsidR="00FE2635">
              <w:rPr>
                <w:noProof/>
                <w:webHidden/>
              </w:rPr>
              <w:tab/>
            </w:r>
            <w:r w:rsidR="00FE2635">
              <w:rPr>
                <w:noProof/>
                <w:webHidden/>
              </w:rPr>
              <w:fldChar w:fldCharType="begin"/>
            </w:r>
            <w:r w:rsidR="00FE2635">
              <w:rPr>
                <w:noProof/>
                <w:webHidden/>
              </w:rPr>
              <w:instrText xml:space="preserve"> PAGEREF _Toc223979939 \h </w:instrText>
            </w:r>
            <w:r w:rsidR="00FE2635">
              <w:rPr>
                <w:noProof/>
                <w:webHidden/>
              </w:rPr>
            </w:r>
            <w:r w:rsidR="00FE2635">
              <w:rPr>
                <w:noProof/>
                <w:webHidden/>
              </w:rPr>
              <w:fldChar w:fldCharType="separate"/>
            </w:r>
            <w:r w:rsidR="00EB3DE7">
              <w:rPr>
                <w:noProof/>
                <w:webHidden/>
              </w:rPr>
              <w:t>10</w:t>
            </w:r>
            <w:r w:rsidR="00FE2635">
              <w:rPr>
                <w:noProof/>
                <w:webHidden/>
              </w:rPr>
              <w:fldChar w:fldCharType="end"/>
            </w:r>
          </w:hyperlink>
        </w:p>
        <w:p w14:paraId="68156EB1" w14:textId="582E776B" w:rsidR="00FE2635" w:rsidRDefault="002866FA">
          <w:pPr>
            <w:pStyle w:val="TOC2"/>
            <w:tabs>
              <w:tab w:val="left" w:pos="960"/>
              <w:tab w:val="right" w:leader="dot" w:pos="9016"/>
            </w:tabs>
            <w:rPr>
              <w:rFonts w:eastAsiaTheme="minorEastAsia" w:cstheme="minorBidi"/>
              <w:b w:val="0"/>
              <w:bCs w:val="0"/>
              <w:noProof/>
              <w:kern w:val="2"/>
              <w:sz w:val="24"/>
              <w:szCs w:val="24"/>
              <w14:ligatures w14:val="standardContextual"/>
            </w:rPr>
          </w:pPr>
          <w:hyperlink w:anchor="_Toc223979940" w:history="1">
            <w:r w:rsidR="00FE2635" w:rsidRPr="00CB58CE">
              <w:rPr>
                <w:rStyle w:val="Hyperlink"/>
                <w:rFonts w:ascii="Cambria" w:hAnsi="Cambria"/>
                <w:noProof/>
              </w:rPr>
              <w:t>3.2</w:t>
            </w:r>
            <w:r w:rsidR="00FE2635">
              <w:rPr>
                <w:rFonts w:eastAsiaTheme="minorEastAsia" w:cstheme="minorBidi"/>
                <w:b w:val="0"/>
                <w:bCs w:val="0"/>
                <w:noProof/>
                <w:kern w:val="2"/>
                <w:sz w:val="24"/>
                <w:szCs w:val="24"/>
                <w14:ligatures w14:val="standardContextual"/>
              </w:rPr>
              <w:tab/>
            </w:r>
            <w:r w:rsidR="00FE2635" w:rsidRPr="00CB58CE">
              <w:rPr>
                <w:rStyle w:val="Hyperlink"/>
                <w:rFonts w:ascii="Cambria" w:hAnsi="Cambria"/>
                <w:noProof/>
              </w:rPr>
              <w:t>International Benchmarking of National Roaming Charges</w:t>
            </w:r>
            <w:r w:rsidR="00FE2635">
              <w:rPr>
                <w:noProof/>
                <w:webHidden/>
              </w:rPr>
              <w:tab/>
            </w:r>
            <w:r w:rsidR="00FE2635">
              <w:rPr>
                <w:noProof/>
                <w:webHidden/>
              </w:rPr>
              <w:fldChar w:fldCharType="begin"/>
            </w:r>
            <w:r w:rsidR="00FE2635">
              <w:rPr>
                <w:noProof/>
                <w:webHidden/>
              </w:rPr>
              <w:instrText xml:space="preserve"> PAGEREF _Toc223979940 \h </w:instrText>
            </w:r>
            <w:r w:rsidR="00FE2635">
              <w:rPr>
                <w:noProof/>
                <w:webHidden/>
              </w:rPr>
            </w:r>
            <w:r w:rsidR="00FE2635">
              <w:rPr>
                <w:noProof/>
                <w:webHidden/>
              </w:rPr>
              <w:fldChar w:fldCharType="separate"/>
            </w:r>
            <w:r w:rsidR="00EB3DE7">
              <w:rPr>
                <w:noProof/>
                <w:webHidden/>
              </w:rPr>
              <w:t>10</w:t>
            </w:r>
            <w:r w:rsidR="00FE2635">
              <w:rPr>
                <w:noProof/>
                <w:webHidden/>
              </w:rPr>
              <w:fldChar w:fldCharType="end"/>
            </w:r>
          </w:hyperlink>
        </w:p>
        <w:p w14:paraId="19447829" w14:textId="10E1FF4C" w:rsidR="00FE2635" w:rsidRDefault="002866FA">
          <w:pPr>
            <w:pStyle w:val="TOC2"/>
            <w:tabs>
              <w:tab w:val="left" w:pos="960"/>
              <w:tab w:val="right" w:leader="dot" w:pos="9016"/>
            </w:tabs>
            <w:rPr>
              <w:rFonts w:eastAsiaTheme="minorEastAsia" w:cstheme="minorBidi"/>
              <w:b w:val="0"/>
              <w:bCs w:val="0"/>
              <w:noProof/>
              <w:kern w:val="2"/>
              <w:sz w:val="24"/>
              <w:szCs w:val="24"/>
              <w14:ligatures w14:val="standardContextual"/>
            </w:rPr>
          </w:pPr>
          <w:hyperlink w:anchor="_Toc223979941" w:history="1">
            <w:r w:rsidR="00FE2635" w:rsidRPr="00CB58CE">
              <w:rPr>
                <w:rStyle w:val="Hyperlink"/>
                <w:rFonts w:ascii="Cambria" w:hAnsi="Cambria"/>
                <w:noProof/>
              </w:rPr>
              <w:t>3.3</w:t>
            </w:r>
            <w:r w:rsidR="00FE2635">
              <w:rPr>
                <w:rFonts w:eastAsiaTheme="minorEastAsia" w:cstheme="minorBidi"/>
                <w:b w:val="0"/>
                <w:bCs w:val="0"/>
                <w:noProof/>
                <w:kern w:val="2"/>
                <w:sz w:val="24"/>
                <w:szCs w:val="24"/>
                <w14:ligatures w14:val="standardContextual"/>
              </w:rPr>
              <w:tab/>
            </w:r>
            <w:r w:rsidR="00FE2635" w:rsidRPr="00CB58CE">
              <w:rPr>
                <w:rStyle w:val="Hyperlink"/>
                <w:rFonts w:ascii="Cambria" w:hAnsi="Cambria"/>
                <w:noProof/>
              </w:rPr>
              <w:t>Scope of Services Covered Under National Roaming</w:t>
            </w:r>
            <w:r w:rsidR="00FE2635">
              <w:rPr>
                <w:noProof/>
                <w:webHidden/>
              </w:rPr>
              <w:tab/>
            </w:r>
            <w:r w:rsidR="00FE2635">
              <w:rPr>
                <w:noProof/>
                <w:webHidden/>
              </w:rPr>
              <w:fldChar w:fldCharType="begin"/>
            </w:r>
            <w:r w:rsidR="00FE2635">
              <w:rPr>
                <w:noProof/>
                <w:webHidden/>
              </w:rPr>
              <w:instrText xml:space="preserve"> PAGEREF _Toc223979941 \h </w:instrText>
            </w:r>
            <w:r w:rsidR="00FE2635">
              <w:rPr>
                <w:noProof/>
                <w:webHidden/>
              </w:rPr>
            </w:r>
            <w:r w:rsidR="00FE2635">
              <w:rPr>
                <w:noProof/>
                <w:webHidden/>
              </w:rPr>
              <w:fldChar w:fldCharType="separate"/>
            </w:r>
            <w:r w:rsidR="00EB3DE7">
              <w:rPr>
                <w:noProof/>
                <w:webHidden/>
              </w:rPr>
              <w:t>11</w:t>
            </w:r>
            <w:r w:rsidR="00FE2635">
              <w:rPr>
                <w:noProof/>
                <w:webHidden/>
              </w:rPr>
              <w:fldChar w:fldCharType="end"/>
            </w:r>
          </w:hyperlink>
        </w:p>
        <w:p w14:paraId="72C27A09" w14:textId="61D4D0D4" w:rsidR="00FE2635" w:rsidRDefault="002866FA">
          <w:pPr>
            <w:pStyle w:val="TOC2"/>
            <w:tabs>
              <w:tab w:val="left" w:pos="960"/>
              <w:tab w:val="right" w:leader="dot" w:pos="9016"/>
            </w:tabs>
            <w:rPr>
              <w:rFonts w:eastAsiaTheme="minorEastAsia" w:cstheme="minorBidi"/>
              <w:b w:val="0"/>
              <w:bCs w:val="0"/>
              <w:noProof/>
              <w:kern w:val="2"/>
              <w:sz w:val="24"/>
              <w:szCs w:val="24"/>
              <w14:ligatures w14:val="standardContextual"/>
            </w:rPr>
          </w:pPr>
          <w:hyperlink w:anchor="_Toc223979942" w:history="1">
            <w:r w:rsidR="00FE2635" w:rsidRPr="00CB58CE">
              <w:rPr>
                <w:rStyle w:val="Hyperlink"/>
                <w:rFonts w:ascii="Cambria" w:hAnsi="Cambria"/>
                <w:noProof/>
              </w:rPr>
              <w:t>3.4</w:t>
            </w:r>
            <w:r w:rsidR="00FE2635">
              <w:rPr>
                <w:rFonts w:eastAsiaTheme="minorEastAsia" w:cstheme="minorBidi"/>
                <w:b w:val="0"/>
                <w:bCs w:val="0"/>
                <w:noProof/>
                <w:kern w:val="2"/>
                <w:sz w:val="24"/>
                <w:szCs w:val="24"/>
                <w14:ligatures w14:val="standardContextual"/>
              </w:rPr>
              <w:tab/>
            </w:r>
            <w:r w:rsidR="00FE2635" w:rsidRPr="00CB58CE">
              <w:rPr>
                <w:rStyle w:val="Hyperlink"/>
                <w:rFonts w:ascii="Cambria" w:hAnsi="Cambria"/>
                <w:noProof/>
              </w:rPr>
              <w:t>Proposed National Roaming Wholesale Rates</w:t>
            </w:r>
            <w:r w:rsidR="00FE2635">
              <w:rPr>
                <w:noProof/>
                <w:webHidden/>
              </w:rPr>
              <w:tab/>
            </w:r>
            <w:r w:rsidR="00FE2635">
              <w:rPr>
                <w:noProof/>
                <w:webHidden/>
              </w:rPr>
              <w:fldChar w:fldCharType="begin"/>
            </w:r>
            <w:r w:rsidR="00FE2635">
              <w:rPr>
                <w:noProof/>
                <w:webHidden/>
              </w:rPr>
              <w:instrText xml:space="preserve"> PAGEREF _Toc223979942 \h </w:instrText>
            </w:r>
            <w:r w:rsidR="00FE2635">
              <w:rPr>
                <w:noProof/>
                <w:webHidden/>
              </w:rPr>
            </w:r>
            <w:r w:rsidR="00FE2635">
              <w:rPr>
                <w:noProof/>
                <w:webHidden/>
              </w:rPr>
              <w:fldChar w:fldCharType="separate"/>
            </w:r>
            <w:r w:rsidR="00EB3DE7">
              <w:rPr>
                <w:noProof/>
                <w:webHidden/>
              </w:rPr>
              <w:t>11</w:t>
            </w:r>
            <w:r w:rsidR="00FE2635">
              <w:rPr>
                <w:noProof/>
                <w:webHidden/>
              </w:rPr>
              <w:fldChar w:fldCharType="end"/>
            </w:r>
          </w:hyperlink>
        </w:p>
        <w:p w14:paraId="29D08D81" w14:textId="373C3C35" w:rsidR="00FE2635" w:rsidRDefault="002866FA">
          <w:pPr>
            <w:pStyle w:val="TOC2"/>
            <w:tabs>
              <w:tab w:val="left" w:pos="960"/>
              <w:tab w:val="right" w:leader="dot" w:pos="9016"/>
            </w:tabs>
            <w:rPr>
              <w:rFonts w:eastAsiaTheme="minorEastAsia" w:cstheme="minorBidi"/>
              <w:b w:val="0"/>
              <w:bCs w:val="0"/>
              <w:noProof/>
              <w:kern w:val="2"/>
              <w:sz w:val="24"/>
              <w:szCs w:val="24"/>
              <w14:ligatures w14:val="standardContextual"/>
            </w:rPr>
          </w:pPr>
          <w:hyperlink w:anchor="_Toc223979943" w:history="1">
            <w:r w:rsidR="00FE2635" w:rsidRPr="00CB58CE">
              <w:rPr>
                <w:rStyle w:val="Hyperlink"/>
                <w:rFonts w:ascii="Cambria" w:hAnsi="Cambria"/>
                <w:noProof/>
              </w:rPr>
              <w:t>3.5</w:t>
            </w:r>
            <w:r w:rsidR="00FE2635">
              <w:rPr>
                <w:rFonts w:eastAsiaTheme="minorEastAsia" w:cstheme="minorBidi"/>
                <w:b w:val="0"/>
                <w:bCs w:val="0"/>
                <w:noProof/>
                <w:kern w:val="2"/>
                <w:sz w:val="24"/>
                <w:szCs w:val="24"/>
                <w14:ligatures w14:val="standardContextual"/>
              </w:rPr>
              <w:tab/>
            </w:r>
            <w:r w:rsidR="00FE2635" w:rsidRPr="00CB58CE">
              <w:rPr>
                <w:rStyle w:val="Hyperlink"/>
                <w:rFonts w:ascii="Cambria" w:hAnsi="Cambria"/>
                <w:noProof/>
              </w:rPr>
              <w:t>Compliance and Enforcement</w:t>
            </w:r>
            <w:r w:rsidR="00FE2635">
              <w:rPr>
                <w:noProof/>
                <w:webHidden/>
              </w:rPr>
              <w:tab/>
            </w:r>
            <w:r w:rsidR="00FE2635">
              <w:rPr>
                <w:noProof/>
                <w:webHidden/>
              </w:rPr>
              <w:fldChar w:fldCharType="begin"/>
            </w:r>
            <w:r w:rsidR="00FE2635">
              <w:rPr>
                <w:noProof/>
                <w:webHidden/>
              </w:rPr>
              <w:instrText xml:space="preserve"> PAGEREF _Toc223979943 \h </w:instrText>
            </w:r>
            <w:r w:rsidR="00FE2635">
              <w:rPr>
                <w:noProof/>
                <w:webHidden/>
              </w:rPr>
            </w:r>
            <w:r w:rsidR="00FE2635">
              <w:rPr>
                <w:noProof/>
                <w:webHidden/>
              </w:rPr>
              <w:fldChar w:fldCharType="separate"/>
            </w:r>
            <w:r w:rsidR="00EB3DE7">
              <w:rPr>
                <w:noProof/>
                <w:webHidden/>
              </w:rPr>
              <w:t>12</w:t>
            </w:r>
            <w:r w:rsidR="00FE2635">
              <w:rPr>
                <w:noProof/>
                <w:webHidden/>
              </w:rPr>
              <w:fldChar w:fldCharType="end"/>
            </w:r>
          </w:hyperlink>
        </w:p>
        <w:p w14:paraId="40D1466F" w14:textId="1F3B0937" w:rsidR="00FE2635" w:rsidRDefault="002866FA">
          <w:pPr>
            <w:pStyle w:val="TOC1"/>
            <w:tabs>
              <w:tab w:val="right" w:leader="dot" w:pos="9016"/>
            </w:tabs>
            <w:rPr>
              <w:rFonts w:eastAsiaTheme="minorEastAsia" w:cstheme="minorBidi"/>
              <w:b w:val="0"/>
              <w:bCs w:val="0"/>
              <w:i w:val="0"/>
              <w:iCs w:val="0"/>
              <w:noProof/>
              <w:kern w:val="2"/>
              <w14:ligatures w14:val="standardContextual"/>
            </w:rPr>
          </w:pPr>
          <w:hyperlink w:anchor="_Toc223979944" w:history="1">
            <w:r w:rsidR="00FE2635" w:rsidRPr="00CB58CE">
              <w:rPr>
                <w:rStyle w:val="Hyperlink"/>
                <w:rFonts w:ascii="Cambria" w:hAnsi="Cambria" w:cs="Cambria"/>
                <w:noProof/>
                <w:lang w:val="en-US"/>
              </w:rPr>
              <w:t>CHAPTER 4</w:t>
            </w:r>
            <w:r w:rsidR="00FE2635">
              <w:rPr>
                <w:noProof/>
                <w:webHidden/>
              </w:rPr>
              <w:tab/>
            </w:r>
            <w:r w:rsidR="00FE2635">
              <w:rPr>
                <w:noProof/>
                <w:webHidden/>
              </w:rPr>
              <w:fldChar w:fldCharType="begin"/>
            </w:r>
            <w:r w:rsidR="00FE2635">
              <w:rPr>
                <w:noProof/>
                <w:webHidden/>
              </w:rPr>
              <w:instrText xml:space="preserve"> PAGEREF _Toc223979944 \h </w:instrText>
            </w:r>
            <w:r w:rsidR="00FE2635">
              <w:rPr>
                <w:noProof/>
                <w:webHidden/>
              </w:rPr>
            </w:r>
            <w:r w:rsidR="00FE2635">
              <w:rPr>
                <w:noProof/>
                <w:webHidden/>
              </w:rPr>
              <w:fldChar w:fldCharType="separate"/>
            </w:r>
            <w:r w:rsidR="00EB3DE7">
              <w:rPr>
                <w:noProof/>
                <w:webHidden/>
              </w:rPr>
              <w:t>13</w:t>
            </w:r>
            <w:r w:rsidR="00FE2635">
              <w:rPr>
                <w:noProof/>
                <w:webHidden/>
              </w:rPr>
              <w:fldChar w:fldCharType="end"/>
            </w:r>
          </w:hyperlink>
        </w:p>
        <w:p w14:paraId="3787EF7C" w14:textId="63C626E7" w:rsidR="00FE2635" w:rsidRDefault="002866FA">
          <w:pPr>
            <w:pStyle w:val="TOC1"/>
            <w:tabs>
              <w:tab w:val="left" w:pos="720"/>
              <w:tab w:val="right" w:leader="dot" w:pos="9016"/>
            </w:tabs>
            <w:rPr>
              <w:rFonts w:eastAsiaTheme="minorEastAsia" w:cstheme="minorBidi"/>
              <w:b w:val="0"/>
              <w:bCs w:val="0"/>
              <w:i w:val="0"/>
              <w:iCs w:val="0"/>
              <w:noProof/>
              <w:kern w:val="2"/>
              <w14:ligatures w14:val="standardContextual"/>
            </w:rPr>
          </w:pPr>
          <w:hyperlink w:anchor="_Toc223979945" w:history="1">
            <w:r w:rsidR="00FE2635" w:rsidRPr="00CB58CE">
              <w:rPr>
                <w:rStyle w:val="Hyperlink"/>
                <w:rFonts w:ascii="Cambria" w:hAnsi="Cambria" w:cs="Cambria"/>
                <w:noProof/>
                <w:lang w:val="en-US"/>
              </w:rPr>
              <w:t>4.0</w:t>
            </w:r>
            <w:r w:rsidR="00FE2635">
              <w:rPr>
                <w:rFonts w:eastAsiaTheme="minorEastAsia" w:cstheme="minorBidi"/>
                <w:b w:val="0"/>
                <w:bCs w:val="0"/>
                <w:i w:val="0"/>
                <w:iCs w:val="0"/>
                <w:noProof/>
                <w:kern w:val="2"/>
                <w14:ligatures w14:val="standardContextual"/>
              </w:rPr>
              <w:tab/>
            </w:r>
            <w:r w:rsidR="00FE2635" w:rsidRPr="00CB58CE">
              <w:rPr>
                <w:rStyle w:val="Hyperlink"/>
                <w:rFonts w:ascii="Cambria" w:hAnsi="Cambria" w:cs="Cambria"/>
                <w:noProof/>
              </w:rPr>
              <w:t>CONSULTATION GUIDELINES</w:t>
            </w:r>
            <w:r w:rsidR="00FE2635">
              <w:rPr>
                <w:noProof/>
                <w:webHidden/>
              </w:rPr>
              <w:tab/>
            </w:r>
            <w:r w:rsidR="00FE2635">
              <w:rPr>
                <w:noProof/>
                <w:webHidden/>
              </w:rPr>
              <w:fldChar w:fldCharType="begin"/>
            </w:r>
            <w:r w:rsidR="00FE2635">
              <w:rPr>
                <w:noProof/>
                <w:webHidden/>
              </w:rPr>
              <w:instrText xml:space="preserve"> PAGEREF _Toc223979945 \h </w:instrText>
            </w:r>
            <w:r w:rsidR="00FE2635">
              <w:rPr>
                <w:noProof/>
                <w:webHidden/>
              </w:rPr>
            </w:r>
            <w:r w:rsidR="00FE2635">
              <w:rPr>
                <w:noProof/>
                <w:webHidden/>
              </w:rPr>
              <w:fldChar w:fldCharType="separate"/>
            </w:r>
            <w:r w:rsidR="00EB3DE7">
              <w:rPr>
                <w:noProof/>
                <w:webHidden/>
              </w:rPr>
              <w:t>13</w:t>
            </w:r>
            <w:r w:rsidR="00FE2635">
              <w:rPr>
                <w:noProof/>
                <w:webHidden/>
              </w:rPr>
              <w:fldChar w:fldCharType="end"/>
            </w:r>
          </w:hyperlink>
        </w:p>
        <w:p w14:paraId="74FB35BF" w14:textId="020D1125" w:rsidR="00FE2635" w:rsidRDefault="002866FA">
          <w:pPr>
            <w:pStyle w:val="TOC2"/>
            <w:tabs>
              <w:tab w:val="left" w:pos="960"/>
              <w:tab w:val="right" w:leader="dot" w:pos="9016"/>
            </w:tabs>
            <w:rPr>
              <w:rFonts w:eastAsiaTheme="minorEastAsia" w:cstheme="minorBidi"/>
              <w:b w:val="0"/>
              <w:bCs w:val="0"/>
              <w:noProof/>
              <w:kern w:val="2"/>
              <w:sz w:val="24"/>
              <w:szCs w:val="24"/>
              <w14:ligatures w14:val="standardContextual"/>
            </w:rPr>
          </w:pPr>
          <w:hyperlink w:anchor="_Toc223979946" w:history="1">
            <w:r w:rsidR="00FE2635" w:rsidRPr="00CB58CE">
              <w:rPr>
                <w:rStyle w:val="Hyperlink"/>
                <w:rFonts w:ascii="Cambria" w:hAnsi="Cambria"/>
                <w:noProof/>
              </w:rPr>
              <w:t>4.1</w:t>
            </w:r>
            <w:r w:rsidR="00FE2635">
              <w:rPr>
                <w:rFonts w:eastAsiaTheme="minorEastAsia" w:cstheme="minorBidi"/>
                <w:b w:val="0"/>
                <w:bCs w:val="0"/>
                <w:noProof/>
                <w:kern w:val="2"/>
                <w:sz w:val="24"/>
                <w:szCs w:val="24"/>
                <w14:ligatures w14:val="standardContextual"/>
              </w:rPr>
              <w:tab/>
            </w:r>
            <w:r w:rsidR="00FE2635" w:rsidRPr="00CB58CE">
              <w:rPr>
                <w:rStyle w:val="Hyperlink"/>
                <w:rFonts w:ascii="Cambria" w:hAnsi="Cambria"/>
                <w:noProof/>
              </w:rPr>
              <w:t>Consultation Questions</w:t>
            </w:r>
            <w:r w:rsidR="00FE2635">
              <w:rPr>
                <w:noProof/>
                <w:webHidden/>
              </w:rPr>
              <w:tab/>
            </w:r>
            <w:r w:rsidR="00FE2635">
              <w:rPr>
                <w:noProof/>
                <w:webHidden/>
              </w:rPr>
              <w:fldChar w:fldCharType="begin"/>
            </w:r>
            <w:r w:rsidR="00FE2635">
              <w:rPr>
                <w:noProof/>
                <w:webHidden/>
              </w:rPr>
              <w:instrText xml:space="preserve"> PAGEREF _Toc223979946 \h </w:instrText>
            </w:r>
            <w:r w:rsidR="00FE2635">
              <w:rPr>
                <w:noProof/>
                <w:webHidden/>
              </w:rPr>
            </w:r>
            <w:r w:rsidR="00FE2635">
              <w:rPr>
                <w:noProof/>
                <w:webHidden/>
              </w:rPr>
              <w:fldChar w:fldCharType="separate"/>
            </w:r>
            <w:r w:rsidR="00EB3DE7">
              <w:rPr>
                <w:noProof/>
                <w:webHidden/>
              </w:rPr>
              <w:t>13</w:t>
            </w:r>
            <w:r w:rsidR="00FE2635">
              <w:rPr>
                <w:noProof/>
                <w:webHidden/>
              </w:rPr>
              <w:fldChar w:fldCharType="end"/>
            </w:r>
          </w:hyperlink>
        </w:p>
        <w:p w14:paraId="6449C816" w14:textId="14DCDEAE" w:rsidR="00FE2635" w:rsidRDefault="002866FA">
          <w:pPr>
            <w:pStyle w:val="TOC2"/>
            <w:tabs>
              <w:tab w:val="left" w:pos="960"/>
              <w:tab w:val="right" w:leader="dot" w:pos="9016"/>
            </w:tabs>
            <w:rPr>
              <w:rFonts w:eastAsiaTheme="minorEastAsia" w:cstheme="minorBidi"/>
              <w:b w:val="0"/>
              <w:bCs w:val="0"/>
              <w:noProof/>
              <w:kern w:val="2"/>
              <w:sz w:val="24"/>
              <w:szCs w:val="24"/>
              <w14:ligatures w14:val="standardContextual"/>
            </w:rPr>
          </w:pPr>
          <w:hyperlink w:anchor="_Toc223979947" w:history="1">
            <w:r w:rsidR="00FE2635" w:rsidRPr="00CB58CE">
              <w:rPr>
                <w:rStyle w:val="Hyperlink"/>
                <w:rFonts w:ascii="Cambria" w:hAnsi="Cambria"/>
                <w:noProof/>
              </w:rPr>
              <w:t>4.2</w:t>
            </w:r>
            <w:r w:rsidR="00FE2635">
              <w:rPr>
                <w:rFonts w:eastAsiaTheme="minorEastAsia" w:cstheme="minorBidi"/>
                <w:b w:val="0"/>
                <w:bCs w:val="0"/>
                <w:noProof/>
                <w:kern w:val="2"/>
                <w:sz w:val="24"/>
                <w:szCs w:val="24"/>
                <w14:ligatures w14:val="standardContextual"/>
              </w:rPr>
              <w:tab/>
            </w:r>
            <w:r w:rsidR="00FE2635" w:rsidRPr="00CB58CE">
              <w:rPr>
                <w:rStyle w:val="Hyperlink"/>
                <w:rFonts w:ascii="Cambria" w:hAnsi="Cambria"/>
                <w:noProof/>
              </w:rPr>
              <w:t>Consultation Timeline</w:t>
            </w:r>
            <w:r w:rsidR="00FE2635">
              <w:rPr>
                <w:noProof/>
                <w:webHidden/>
              </w:rPr>
              <w:tab/>
            </w:r>
            <w:r w:rsidR="00FE2635">
              <w:rPr>
                <w:noProof/>
                <w:webHidden/>
              </w:rPr>
              <w:fldChar w:fldCharType="begin"/>
            </w:r>
            <w:r w:rsidR="00FE2635">
              <w:rPr>
                <w:noProof/>
                <w:webHidden/>
              </w:rPr>
              <w:instrText xml:space="preserve"> PAGEREF _Toc223979947 \h </w:instrText>
            </w:r>
            <w:r w:rsidR="00FE2635">
              <w:rPr>
                <w:noProof/>
                <w:webHidden/>
              </w:rPr>
            </w:r>
            <w:r w:rsidR="00FE2635">
              <w:rPr>
                <w:noProof/>
                <w:webHidden/>
              </w:rPr>
              <w:fldChar w:fldCharType="separate"/>
            </w:r>
            <w:r w:rsidR="00EB3DE7">
              <w:rPr>
                <w:noProof/>
                <w:webHidden/>
              </w:rPr>
              <w:t>13</w:t>
            </w:r>
            <w:r w:rsidR="00FE2635">
              <w:rPr>
                <w:noProof/>
                <w:webHidden/>
              </w:rPr>
              <w:fldChar w:fldCharType="end"/>
            </w:r>
          </w:hyperlink>
        </w:p>
        <w:p w14:paraId="7D8DDCD0" w14:textId="4F2A9401" w:rsidR="00FE2635" w:rsidRDefault="002866FA">
          <w:pPr>
            <w:pStyle w:val="TOC1"/>
            <w:tabs>
              <w:tab w:val="right" w:leader="dot" w:pos="9016"/>
            </w:tabs>
            <w:rPr>
              <w:rFonts w:eastAsiaTheme="minorEastAsia" w:cstheme="minorBidi"/>
              <w:b w:val="0"/>
              <w:bCs w:val="0"/>
              <w:i w:val="0"/>
              <w:iCs w:val="0"/>
              <w:noProof/>
              <w:kern w:val="2"/>
              <w14:ligatures w14:val="standardContextual"/>
            </w:rPr>
          </w:pPr>
          <w:hyperlink w:anchor="_Toc223979948" w:history="1">
            <w:r w:rsidR="00FE2635" w:rsidRPr="00CB58CE">
              <w:rPr>
                <w:rStyle w:val="Hyperlink"/>
                <w:rFonts w:ascii="Cambria" w:hAnsi="Cambria" w:cs="Cambria"/>
                <w:noProof/>
              </w:rPr>
              <w:t>ANNEX 1</w:t>
            </w:r>
            <w:r w:rsidR="00FE2635">
              <w:rPr>
                <w:noProof/>
                <w:webHidden/>
              </w:rPr>
              <w:tab/>
            </w:r>
            <w:r w:rsidR="00FE2635">
              <w:rPr>
                <w:noProof/>
                <w:webHidden/>
              </w:rPr>
              <w:fldChar w:fldCharType="begin"/>
            </w:r>
            <w:r w:rsidR="00FE2635">
              <w:rPr>
                <w:noProof/>
                <w:webHidden/>
              </w:rPr>
              <w:instrText xml:space="preserve"> PAGEREF _Toc223979948 \h </w:instrText>
            </w:r>
            <w:r w:rsidR="00FE2635">
              <w:rPr>
                <w:noProof/>
                <w:webHidden/>
              </w:rPr>
            </w:r>
            <w:r w:rsidR="00FE2635">
              <w:rPr>
                <w:noProof/>
                <w:webHidden/>
              </w:rPr>
              <w:fldChar w:fldCharType="separate"/>
            </w:r>
            <w:r w:rsidR="00EB3DE7">
              <w:rPr>
                <w:noProof/>
                <w:webHidden/>
              </w:rPr>
              <w:t>14</w:t>
            </w:r>
            <w:r w:rsidR="00FE2635">
              <w:rPr>
                <w:noProof/>
                <w:webHidden/>
              </w:rPr>
              <w:fldChar w:fldCharType="end"/>
            </w:r>
          </w:hyperlink>
        </w:p>
        <w:p w14:paraId="465D1C2F" w14:textId="5EE1E32F" w:rsidR="00FE2635" w:rsidRDefault="002866FA">
          <w:pPr>
            <w:pStyle w:val="TOC1"/>
            <w:tabs>
              <w:tab w:val="right" w:leader="dot" w:pos="9016"/>
            </w:tabs>
            <w:rPr>
              <w:rFonts w:eastAsiaTheme="minorEastAsia" w:cstheme="minorBidi"/>
              <w:b w:val="0"/>
              <w:bCs w:val="0"/>
              <w:i w:val="0"/>
              <w:iCs w:val="0"/>
              <w:noProof/>
              <w:kern w:val="2"/>
              <w14:ligatures w14:val="standardContextual"/>
            </w:rPr>
          </w:pPr>
          <w:hyperlink w:anchor="_Toc223979949" w:history="1">
            <w:r w:rsidR="00FE2635" w:rsidRPr="00CB58CE">
              <w:rPr>
                <w:rStyle w:val="Hyperlink"/>
                <w:rFonts w:ascii="Cambria" w:hAnsi="Cambria" w:cs="Cambria"/>
                <w:noProof/>
              </w:rPr>
              <w:t>CONSULTATION RESPONSE TEMPLATE</w:t>
            </w:r>
            <w:r w:rsidR="00FE2635">
              <w:rPr>
                <w:noProof/>
                <w:webHidden/>
              </w:rPr>
              <w:tab/>
            </w:r>
            <w:r w:rsidR="00FE2635">
              <w:rPr>
                <w:noProof/>
                <w:webHidden/>
              </w:rPr>
              <w:fldChar w:fldCharType="begin"/>
            </w:r>
            <w:r w:rsidR="00FE2635">
              <w:rPr>
                <w:noProof/>
                <w:webHidden/>
              </w:rPr>
              <w:instrText xml:space="preserve"> PAGEREF _Toc223979949 \h </w:instrText>
            </w:r>
            <w:r w:rsidR="00FE2635">
              <w:rPr>
                <w:noProof/>
                <w:webHidden/>
              </w:rPr>
            </w:r>
            <w:r w:rsidR="00FE2635">
              <w:rPr>
                <w:noProof/>
                <w:webHidden/>
              </w:rPr>
              <w:fldChar w:fldCharType="separate"/>
            </w:r>
            <w:r w:rsidR="00EB3DE7">
              <w:rPr>
                <w:noProof/>
                <w:webHidden/>
              </w:rPr>
              <w:t>14</w:t>
            </w:r>
            <w:r w:rsidR="00FE2635">
              <w:rPr>
                <w:noProof/>
                <w:webHidden/>
              </w:rPr>
              <w:fldChar w:fldCharType="end"/>
            </w:r>
          </w:hyperlink>
        </w:p>
        <w:p w14:paraId="7D0F243E" w14:textId="08D4936C" w:rsidR="00FE2635" w:rsidRDefault="002866FA">
          <w:pPr>
            <w:pStyle w:val="TOC2"/>
            <w:tabs>
              <w:tab w:val="right" w:leader="dot" w:pos="9016"/>
            </w:tabs>
            <w:rPr>
              <w:rFonts w:eastAsiaTheme="minorEastAsia" w:cstheme="minorBidi"/>
              <w:b w:val="0"/>
              <w:bCs w:val="0"/>
              <w:noProof/>
              <w:kern w:val="2"/>
              <w:sz w:val="24"/>
              <w:szCs w:val="24"/>
              <w14:ligatures w14:val="standardContextual"/>
            </w:rPr>
          </w:pPr>
          <w:hyperlink w:anchor="_Toc223979950" w:history="1">
            <w:r w:rsidR="00FE2635" w:rsidRPr="00CB58CE">
              <w:rPr>
                <w:rStyle w:val="Hyperlink"/>
                <w:rFonts w:ascii="Cambria" w:hAnsi="Cambria" w:cs="Cambria"/>
                <w:noProof/>
              </w:rPr>
              <w:t>Respondent Information</w:t>
            </w:r>
            <w:r w:rsidR="00FE2635">
              <w:rPr>
                <w:noProof/>
                <w:webHidden/>
              </w:rPr>
              <w:tab/>
            </w:r>
            <w:r w:rsidR="00FE2635">
              <w:rPr>
                <w:noProof/>
                <w:webHidden/>
              </w:rPr>
              <w:fldChar w:fldCharType="begin"/>
            </w:r>
            <w:r w:rsidR="00FE2635">
              <w:rPr>
                <w:noProof/>
                <w:webHidden/>
              </w:rPr>
              <w:instrText xml:space="preserve"> PAGEREF _Toc223979950 \h </w:instrText>
            </w:r>
            <w:r w:rsidR="00FE2635">
              <w:rPr>
                <w:noProof/>
                <w:webHidden/>
              </w:rPr>
            </w:r>
            <w:r w:rsidR="00FE2635">
              <w:rPr>
                <w:noProof/>
                <w:webHidden/>
              </w:rPr>
              <w:fldChar w:fldCharType="separate"/>
            </w:r>
            <w:r w:rsidR="00EB3DE7">
              <w:rPr>
                <w:noProof/>
                <w:webHidden/>
              </w:rPr>
              <w:t>14</w:t>
            </w:r>
            <w:r w:rsidR="00FE2635">
              <w:rPr>
                <w:noProof/>
                <w:webHidden/>
              </w:rPr>
              <w:fldChar w:fldCharType="end"/>
            </w:r>
          </w:hyperlink>
        </w:p>
        <w:p w14:paraId="48EE5150" w14:textId="49C6269E" w:rsidR="00FE2635" w:rsidRDefault="002866FA">
          <w:pPr>
            <w:pStyle w:val="TOC2"/>
            <w:tabs>
              <w:tab w:val="right" w:leader="dot" w:pos="9016"/>
            </w:tabs>
            <w:rPr>
              <w:rFonts w:eastAsiaTheme="minorEastAsia" w:cstheme="minorBidi"/>
              <w:b w:val="0"/>
              <w:bCs w:val="0"/>
              <w:noProof/>
              <w:kern w:val="2"/>
              <w:sz w:val="24"/>
              <w:szCs w:val="24"/>
              <w14:ligatures w14:val="standardContextual"/>
            </w:rPr>
          </w:pPr>
          <w:hyperlink w:anchor="_Toc223979951" w:history="1">
            <w:r w:rsidR="00FE2635" w:rsidRPr="00CB58CE">
              <w:rPr>
                <w:rStyle w:val="Hyperlink"/>
                <w:rFonts w:ascii="Cambria" w:hAnsi="Cambria" w:cs="Cambria"/>
                <w:noProof/>
              </w:rPr>
              <w:t>Consultation Response Table</w:t>
            </w:r>
            <w:r w:rsidR="00FE2635">
              <w:rPr>
                <w:noProof/>
                <w:webHidden/>
              </w:rPr>
              <w:tab/>
            </w:r>
            <w:r w:rsidR="00FE2635">
              <w:rPr>
                <w:noProof/>
                <w:webHidden/>
              </w:rPr>
              <w:fldChar w:fldCharType="begin"/>
            </w:r>
            <w:r w:rsidR="00FE2635">
              <w:rPr>
                <w:noProof/>
                <w:webHidden/>
              </w:rPr>
              <w:instrText xml:space="preserve"> PAGEREF _Toc223979951 \h </w:instrText>
            </w:r>
            <w:r w:rsidR="00FE2635">
              <w:rPr>
                <w:noProof/>
                <w:webHidden/>
              </w:rPr>
            </w:r>
            <w:r w:rsidR="00FE2635">
              <w:rPr>
                <w:noProof/>
                <w:webHidden/>
              </w:rPr>
              <w:fldChar w:fldCharType="separate"/>
            </w:r>
            <w:r w:rsidR="00EB3DE7">
              <w:rPr>
                <w:noProof/>
                <w:webHidden/>
              </w:rPr>
              <w:t>14</w:t>
            </w:r>
            <w:r w:rsidR="00FE2635">
              <w:rPr>
                <w:noProof/>
                <w:webHidden/>
              </w:rPr>
              <w:fldChar w:fldCharType="end"/>
            </w:r>
          </w:hyperlink>
        </w:p>
        <w:p w14:paraId="79B24E63" w14:textId="74E70CBE" w:rsidR="00FE2635" w:rsidRDefault="002866FA">
          <w:pPr>
            <w:pStyle w:val="TOC2"/>
            <w:tabs>
              <w:tab w:val="right" w:leader="dot" w:pos="9016"/>
            </w:tabs>
            <w:rPr>
              <w:rFonts w:eastAsiaTheme="minorEastAsia" w:cstheme="minorBidi"/>
              <w:b w:val="0"/>
              <w:bCs w:val="0"/>
              <w:noProof/>
              <w:kern w:val="2"/>
              <w:sz w:val="24"/>
              <w:szCs w:val="24"/>
              <w14:ligatures w14:val="standardContextual"/>
            </w:rPr>
          </w:pPr>
          <w:hyperlink w:anchor="_Toc223979952" w:history="1">
            <w:r w:rsidR="00FE2635" w:rsidRPr="00CB58CE">
              <w:rPr>
                <w:rStyle w:val="Hyperlink"/>
                <w:rFonts w:ascii="Cambria" w:hAnsi="Cambria" w:cs="Cambria"/>
                <w:noProof/>
              </w:rPr>
              <w:t>Confidentiality of Submissions</w:t>
            </w:r>
            <w:r w:rsidR="00FE2635">
              <w:rPr>
                <w:noProof/>
                <w:webHidden/>
              </w:rPr>
              <w:tab/>
            </w:r>
            <w:r w:rsidR="00FE2635">
              <w:rPr>
                <w:noProof/>
                <w:webHidden/>
              </w:rPr>
              <w:fldChar w:fldCharType="begin"/>
            </w:r>
            <w:r w:rsidR="00FE2635">
              <w:rPr>
                <w:noProof/>
                <w:webHidden/>
              </w:rPr>
              <w:instrText xml:space="preserve"> PAGEREF _Toc223979952 \h </w:instrText>
            </w:r>
            <w:r w:rsidR="00FE2635">
              <w:rPr>
                <w:noProof/>
                <w:webHidden/>
              </w:rPr>
            </w:r>
            <w:r w:rsidR="00FE2635">
              <w:rPr>
                <w:noProof/>
                <w:webHidden/>
              </w:rPr>
              <w:fldChar w:fldCharType="separate"/>
            </w:r>
            <w:r w:rsidR="00EB3DE7">
              <w:rPr>
                <w:noProof/>
                <w:webHidden/>
              </w:rPr>
              <w:t>14</w:t>
            </w:r>
            <w:r w:rsidR="00FE2635">
              <w:rPr>
                <w:noProof/>
                <w:webHidden/>
              </w:rPr>
              <w:fldChar w:fldCharType="end"/>
            </w:r>
          </w:hyperlink>
        </w:p>
        <w:p w14:paraId="4876347C" w14:textId="7021FDAE" w:rsidR="00FE2635" w:rsidRDefault="002866FA">
          <w:pPr>
            <w:pStyle w:val="TOC2"/>
            <w:tabs>
              <w:tab w:val="right" w:leader="dot" w:pos="9016"/>
            </w:tabs>
            <w:rPr>
              <w:rFonts w:eastAsiaTheme="minorEastAsia" w:cstheme="minorBidi"/>
              <w:b w:val="0"/>
              <w:bCs w:val="0"/>
              <w:noProof/>
              <w:kern w:val="2"/>
              <w:sz w:val="24"/>
              <w:szCs w:val="24"/>
              <w14:ligatures w14:val="standardContextual"/>
            </w:rPr>
          </w:pPr>
          <w:hyperlink w:anchor="_Toc223979953" w:history="1">
            <w:r w:rsidR="00FE2635" w:rsidRPr="00CB58CE">
              <w:rPr>
                <w:rStyle w:val="Hyperlink"/>
                <w:rFonts w:ascii="Cambria" w:hAnsi="Cambria" w:cs="Cambria"/>
                <w:noProof/>
              </w:rPr>
              <w:t>Submission Instructions</w:t>
            </w:r>
            <w:r w:rsidR="00FE2635">
              <w:rPr>
                <w:noProof/>
                <w:webHidden/>
              </w:rPr>
              <w:tab/>
            </w:r>
            <w:r w:rsidR="00FE2635">
              <w:rPr>
                <w:noProof/>
                <w:webHidden/>
              </w:rPr>
              <w:fldChar w:fldCharType="begin"/>
            </w:r>
            <w:r w:rsidR="00FE2635">
              <w:rPr>
                <w:noProof/>
                <w:webHidden/>
              </w:rPr>
              <w:instrText xml:space="preserve"> PAGEREF _Toc223979953 \h </w:instrText>
            </w:r>
            <w:r w:rsidR="00FE2635">
              <w:rPr>
                <w:noProof/>
                <w:webHidden/>
              </w:rPr>
            </w:r>
            <w:r w:rsidR="00FE2635">
              <w:rPr>
                <w:noProof/>
                <w:webHidden/>
              </w:rPr>
              <w:fldChar w:fldCharType="separate"/>
            </w:r>
            <w:r w:rsidR="00EB3DE7">
              <w:rPr>
                <w:noProof/>
                <w:webHidden/>
              </w:rPr>
              <w:t>15</w:t>
            </w:r>
            <w:r w:rsidR="00FE2635">
              <w:rPr>
                <w:noProof/>
                <w:webHidden/>
              </w:rPr>
              <w:fldChar w:fldCharType="end"/>
            </w:r>
          </w:hyperlink>
        </w:p>
        <w:p w14:paraId="76D054F6" w14:textId="79C850EF" w:rsidR="00A5156C" w:rsidRDefault="00A5156C">
          <w:r>
            <w:rPr>
              <w:b/>
              <w:bCs/>
              <w:noProof/>
            </w:rPr>
            <w:fldChar w:fldCharType="end"/>
          </w:r>
        </w:p>
      </w:sdtContent>
    </w:sdt>
    <w:p w14:paraId="21D74F76" w14:textId="23DCD1EA" w:rsidR="00B636E9" w:rsidRDefault="00B636E9">
      <w:pPr>
        <w:rPr>
          <w:rFonts w:ascii="Cambria" w:eastAsiaTheme="majorEastAsia" w:hAnsi="Cambria" w:cs="Cambria"/>
          <w:color w:val="2E74B5" w:themeColor="accent1" w:themeShade="BF"/>
          <w:sz w:val="32"/>
          <w:szCs w:val="32"/>
          <w:lang w:val="en-CA" w:eastAsia="en-US"/>
        </w:rPr>
      </w:pPr>
      <w:r>
        <w:rPr>
          <w:rFonts w:ascii="Cambria" w:hAnsi="Cambria" w:cs="Cambria"/>
        </w:rPr>
        <w:br w:type="page"/>
      </w:r>
    </w:p>
    <w:p w14:paraId="6D71892C" w14:textId="4D2F1221" w:rsidR="005B31DC" w:rsidRPr="00291CFB" w:rsidRDefault="00945C37">
      <w:pPr>
        <w:pStyle w:val="Heading1"/>
        <w:jc w:val="center"/>
        <w:rPr>
          <w:rFonts w:ascii="Cambria" w:hAnsi="Cambria" w:cs="Cambria"/>
          <w:sz w:val="28"/>
          <w:szCs w:val="28"/>
        </w:rPr>
      </w:pPr>
      <w:bookmarkStart w:id="5" w:name="_Toc223979926"/>
      <w:r w:rsidRPr="00291CFB">
        <w:rPr>
          <w:rFonts w:ascii="Cambria" w:hAnsi="Cambria" w:cs="Cambria"/>
          <w:sz w:val="28"/>
          <w:szCs w:val="28"/>
        </w:rPr>
        <w:lastRenderedPageBreak/>
        <w:t>CHAPTER 1</w:t>
      </w:r>
      <w:bookmarkEnd w:id="1"/>
      <w:bookmarkEnd w:id="2"/>
      <w:bookmarkEnd w:id="5"/>
    </w:p>
    <w:p w14:paraId="37A8594B" w14:textId="77777777" w:rsidR="005B31DC" w:rsidRPr="00291CFB" w:rsidRDefault="00945C37">
      <w:pPr>
        <w:pStyle w:val="Heading1"/>
        <w:numPr>
          <w:ilvl w:val="0"/>
          <w:numId w:val="1"/>
        </w:numPr>
        <w:rPr>
          <w:rFonts w:ascii="Cambria" w:hAnsi="Cambria" w:cs="Cambria"/>
          <w:sz w:val="28"/>
          <w:szCs w:val="28"/>
        </w:rPr>
      </w:pPr>
      <w:bookmarkStart w:id="6" w:name="_Toc219283081"/>
      <w:bookmarkStart w:id="7" w:name="_Toc6819"/>
      <w:bookmarkStart w:id="8" w:name="_Toc223979927"/>
      <w:r w:rsidRPr="00291CFB">
        <w:rPr>
          <w:rFonts w:ascii="Cambria" w:hAnsi="Cambria" w:cs="Cambria"/>
          <w:sz w:val="28"/>
          <w:szCs w:val="28"/>
        </w:rPr>
        <w:t>INTRODUCTION</w:t>
      </w:r>
      <w:bookmarkEnd w:id="6"/>
      <w:bookmarkEnd w:id="7"/>
      <w:bookmarkEnd w:id="8"/>
    </w:p>
    <w:p w14:paraId="507652E9" w14:textId="77777777" w:rsidR="005B31DC" w:rsidRDefault="005B31DC">
      <w:pPr>
        <w:rPr>
          <w:rFonts w:ascii="Cambria" w:hAnsi="Cambria" w:cs="Cambria"/>
        </w:rPr>
      </w:pPr>
    </w:p>
    <w:p w14:paraId="469AACE2" w14:textId="3F3D3343" w:rsidR="005B31DC" w:rsidRPr="00CA6FC8" w:rsidRDefault="00945C37" w:rsidP="00CA6FC8">
      <w:pPr>
        <w:pStyle w:val="Heading2"/>
        <w:numPr>
          <w:ilvl w:val="1"/>
          <w:numId w:val="1"/>
        </w:numPr>
        <w:spacing w:line="360" w:lineRule="auto"/>
        <w:ind w:left="567"/>
        <w:rPr>
          <w:rFonts w:ascii="Cambria" w:hAnsi="Cambria" w:cs="Cambria"/>
          <w:sz w:val="24"/>
          <w:szCs w:val="24"/>
        </w:rPr>
      </w:pPr>
      <w:bookmarkStart w:id="9" w:name="_Toc219283082"/>
      <w:bookmarkStart w:id="10" w:name="_Toc15981"/>
      <w:bookmarkStart w:id="11" w:name="_Toc223979928"/>
      <w:r w:rsidRPr="00D95D19">
        <w:rPr>
          <w:rFonts w:ascii="Cambria" w:hAnsi="Cambria" w:cs="Cambria"/>
          <w:sz w:val="24"/>
          <w:szCs w:val="24"/>
        </w:rPr>
        <w:t>Background</w:t>
      </w:r>
      <w:bookmarkEnd w:id="9"/>
      <w:bookmarkEnd w:id="10"/>
      <w:bookmarkEnd w:id="11"/>
    </w:p>
    <w:p w14:paraId="4A06FC45" w14:textId="77777777" w:rsidR="00CA6FC8" w:rsidRPr="00CA6FC8" w:rsidRDefault="00CA6FC8" w:rsidP="00CA6FC8">
      <w:pPr>
        <w:pStyle w:val="NoSpacing"/>
        <w:rPr>
          <w:rFonts w:ascii="Cambria" w:hAnsi="Cambria"/>
        </w:rPr>
      </w:pPr>
      <w:r w:rsidRPr="00CA6FC8">
        <w:rPr>
          <w:rFonts w:ascii="Cambria" w:hAnsi="Cambria"/>
        </w:rPr>
        <w:t>The National Communications Authority (NCA) is mandated under the Electronic Communications Act, 2008 (Act 775) to regulate electronic communications networks and services in Ghana in a manner that promotes:</w:t>
      </w:r>
    </w:p>
    <w:p w14:paraId="0908CF6B" w14:textId="77777777" w:rsidR="00CA6FC8" w:rsidRPr="00CA6FC8" w:rsidRDefault="00CA6FC8" w:rsidP="002866FA">
      <w:pPr>
        <w:pStyle w:val="NoSpacing"/>
        <w:numPr>
          <w:ilvl w:val="0"/>
          <w:numId w:val="7"/>
        </w:numPr>
        <w:rPr>
          <w:rFonts w:ascii="Cambria" w:hAnsi="Cambria"/>
        </w:rPr>
      </w:pPr>
      <w:r w:rsidRPr="00CA6FC8">
        <w:rPr>
          <w:rFonts w:ascii="Cambria" w:hAnsi="Cambria"/>
        </w:rPr>
        <w:t>fair and effective competition</w:t>
      </w:r>
    </w:p>
    <w:p w14:paraId="3209E203" w14:textId="77777777" w:rsidR="00CA6FC8" w:rsidRPr="00CA6FC8" w:rsidRDefault="00CA6FC8" w:rsidP="002866FA">
      <w:pPr>
        <w:pStyle w:val="NoSpacing"/>
        <w:numPr>
          <w:ilvl w:val="0"/>
          <w:numId w:val="7"/>
        </w:numPr>
        <w:rPr>
          <w:rFonts w:ascii="Cambria" w:hAnsi="Cambria"/>
        </w:rPr>
      </w:pPr>
      <w:r w:rsidRPr="00CA6FC8">
        <w:rPr>
          <w:rFonts w:ascii="Cambria" w:hAnsi="Cambria"/>
        </w:rPr>
        <w:t>consumer protection</w:t>
      </w:r>
    </w:p>
    <w:p w14:paraId="40305206" w14:textId="77777777" w:rsidR="00CA6FC8" w:rsidRPr="00CA6FC8" w:rsidRDefault="00CA6FC8" w:rsidP="002866FA">
      <w:pPr>
        <w:pStyle w:val="NoSpacing"/>
        <w:numPr>
          <w:ilvl w:val="0"/>
          <w:numId w:val="7"/>
        </w:numPr>
        <w:rPr>
          <w:rFonts w:ascii="Cambria" w:hAnsi="Cambria"/>
        </w:rPr>
      </w:pPr>
      <w:r w:rsidRPr="00CA6FC8">
        <w:rPr>
          <w:rFonts w:ascii="Cambria" w:hAnsi="Cambria"/>
        </w:rPr>
        <w:t>efficient use of communications infrastructure</w:t>
      </w:r>
    </w:p>
    <w:p w14:paraId="18C78E38" w14:textId="77777777" w:rsidR="00CA6FC8" w:rsidRPr="00CA6FC8" w:rsidRDefault="00CA6FC8" w:rsidP="002866FA">
      <w:pPr>
        <w:pStyle w:val="NoSpacing"/>
        <w:numPr>
          <w:ilvl w:val="0"/>
          <w:numId w:val="7"/>
        </w:numPr>
        <w:rPr>
          <w:rFonts w:ascii="Cambria" w:hAnsi="Cambria"/>
        </w:rPr>
      </w:pPr>
      <w:r w:rsidRPr="00CA6FC8">
        <w:rPr>
          <w:rFonts w:ascii="Cambria" w:hAnsi="Cambria"/>
        </w:rPr>
        <w:t>sustainable development of the telecommunications sector.</w:t>
      </w:r>
    </w:p>
    <w:p w14:paraId="1E226F56" w14:textId="77777777" w:rsidR="00CA6FC8" w:rsidRDefault="00CA6FC8" w:rsidP="00CA6FC8">
      <w:pPr>
        <w:pStyle w:val="NoSpacing"/>
        <w:rPr>
          <w:rFonts w:ascii="Cambria" w:hAnsi="Cambria"/>
        </w:rPr>
      </w:pPr>
    </w:p>
    <w:p w14:paraId="3AA7AC3F" w14:textId="21BB0102" w:rsidR="00CA6FC8" w:rsidRPr="00CA6FC8" w:rsidRDefault="00CA6FC8" w:rsidP="00CA6FC8">
      <w:pPr>
        <w:pStyle w:val="NoSpacing"/>
        <w:rPr>
          <w:rFonts w:ascii="Cambria" w:hAnsi="Cambria"/>
        </w:rPr>
      </w:pPr>
      <w:r w:rsidRPr="00CA6FC8">
        <w:rPr>
          <w:rFonts w:ascii="Cambria" w:hAnsi="Cambria"/>
        </w:rPr>
        <w:t>In exercising this mandate, the Authority conducts its regulatory activities in a transparent, open and consultative manner consistent with Act 775 and the National Telecommunications Policy, 2005 (NTP’05).</w:t>
      </w:r>
    </w:p>
    <w:p w14:paraId="29FB383E" w14:textId="77777777" w:rsidR="00CA6FC8" w:rsidRDefault="00CA6FC8" w:rsidP="00CA6FC8">
      <w:pPr>
        <w:pStyle w:val="NoSpacing"/>
        <w:rPr>
          <w:rFonts w:ascii="Cambria" w:hAnsi="Cambria"/>
        </w:rPr>
      </w:pPr>
    </w:p>
    <w:p w14:paraId="4D87C5AD" w14:textId="2A160644" w:rsidR="00CA6FC8" w:rsidRPr="00CA6FC8" w:rsidRDefault="00CA6FC8" w:rsidP="00CA6FC8">
      <w:pPr>
        <w:pStyle w:val="NoSpacing"/>
        <w:rPr>
          <w:rFonts w:ascii="Cambria" w:hAnsi="Cambria"/>
        </w:rPr>
      </w:pPr>
      <w:r w:rsidRPr="00CA6FC8">
        <w:rPr>
          <w:rFonts w:ascii="Cambria" w:hAnsi="Cambria"/>
        </w:rPr>
        <w:t>Under Sections 3, 20, 24 and 25 of Act 775, the Authority has the power to regulate interconnection and access arrangements between electronic communications networks where intervention is necessary to promote competition, ensure efficient use of infrastructure and protect consumer interests.</w:t>
      </w:r>
    </w:p>
    <w:p w14:paraId="726DE972" w14:textId="77777777" w:rsidR="00CA6FC8" w:rsidRDefault="00CA6FC8" w:rsidP="00CA6FC8">
      <w:pPr>
        <w:pStyle w:val="NoSpacing"/>
        <w:rPr>
          <w:rFonts w:ascii="Cambria" w:hAnsi="Cambria"/>
        </w:rPr>
      </w:pPr>
    </w:p>
    <w:p w14:paraId="52131C71" w14:textId="3E8A07B4" w:rsidR="00CA6FC8" w:rsidRPr="00CA6FC8" w:rsidRDefault="00CA6FC8" w:rsidP="00CA6FC8">
      <w:pPr>
        <w:pStyle w:val="NoSpacing"/>
        <w:rPr>
          <w:rFonts w:ascii="Cambria" w:hAnsi="Cambria"/>
        </w:rPr>
      </w:pPr>
      <w:r w:rsidRPr="00CA6FC8">
        <w:rPr>
          <w:rFonts w:ascii="Cambria" w:hAnsi="Cambria"/>
        </w:rPr>
        <w:t>In June 2020, the Authority declared MTN Ghana as having Significant Market Power (SMP) in the mobile telecommunications market.</w:t>
      </w:r>
      <w:r>
        <w:rPr>
          <w:rFonts w:ascii="Cambria" w:hAnsi="Cambria"/>
        </w:rPr>
        <w:t xml:space="preserve"> </w:t>
      </w:r>
      <w:r w:rsidRPr="00CA6FC8">
        <w:rPr>
          <w:rFonts w:ascii="Cambria" w:hAnsi="Cambria"/>
        </w:rPr>
        <w:t>As part of the remedies introduced to address market imbalance, the Authority mandated national roaming among mobile network operators.</w:t>
      </w:r>
    </w:p>
    <w:p w14:paraId="1B335D13" w14:textId="77777777" w:rsidR="00CA6FC8" w:rsidRDefault="00CA6FC8" w:rsidP="00CA6FC8">
      <w:pPr>
        <w:pStyle w:val="NoSpacing"/>
        <w:rPr>
          <w:rFonts w:ascii="Cambria" w:hAnsi="Cambria"/>
        </w:rPr>
      </w:pPr>
    </w:p>
    <w:p w14:paraId="42370A78" w14:textId="50565623" w:rsidR="00CA6FC8" w:rsidRPr="00CA6FC8" w:rsidRDefault="00CA6FC8" w:rsidP="00CA6FC8">
      <w:pPr>
        <w:pStyle w:val="NoSpacing"/>
        <w:rPr>
          <w:rFonts w:ascii="Cambria" w:hAnsi="Cambria"/>
        </w:rPr>
      </w:pPr>
      <w:r w:rsidRPr="00CA6FC8">
        <w:rPr>
          <w:rFonts w:ascii="Cambria" w:hAnsi="Cambria"/>
        </w:rPr>
        <w:t>National roaming enables subscribers of one mobile network operator to access services on another operator’s network within the same national territory, particularly in areas where their home network does not have coverage.</w:t>
      </w:r>
    </w:p>
    <w:p w14:paraId="6BEA54DA" w14:textId="77777777" w:rsidR="00CA6FC8" w:rsidRDefault="00CA6FC8" w:rsidP="00CA6FC8">
      <w:pPr>
        <w:pStyle w:val="NoSpacing"/>
        <w:rPr>
          <w:rFonts w:ascii="Cambria" w:hAnsi="Cambria"/>
        </w:rPr>
      </w:pPr>
    </w:p>
    <w:p w14:paraId="1F1A4867" w14:textId="267A4BCF" w:rsidR="00CA6FC8" w:rsidRPr="00CA6FC8" w:rsidRDefault="00CA6FC8" w:rsidP="00CA6FC8">
      <w:pPr>
        <w:pStyle w:val="NoSpacing"/>
        <w:rPr>
          <w:rFonts w:ascii="Cambria" w:hAnsi="Cambria"/>
        </w:rPr>
      </w:pPr>
      <w:r w:rsidRPr="00CA6FC8">
        <w:rPr>
          <w:rFonts w:ascii="Cambria" w:hAnsi="Cambria"/>
        </w:rPr>
        <w:t>Implementation of national roaming arrangements commenced in 2022 through bilateral commercial agreements between operators.</w:t>
      </w:r>
      <w:r>
        <w:rPr>
          <w:rFonts w:ascii="Cambria" w:hAnsi="Cambria"/>
        </w:rPr>
        <w:t xml:space="preserve"> </w:t>
      </w:r>
      <w:r w:rsidRPr="00CA6FC8">
        <w:rPr>
          <w:rFonts w:ascii="Cambria" w:hAnsi="Cambria"/>
        </w:rPr>
        <w:t>While these arrangements have facilitated service availability and network interoperability, concerns have been raised by some operators regarding:</w:t>
      </w:r>
    </w:p>
    <w:p w14:paraId="4E585E73" w14:textId="77777777" w:rsidR="00CA6FC8" w:rsidRPr="00CA6FC8" w:rsidRDefault="00CA6FC8" w:rsidP="002866FA">
      <w:pPr>
        <w:pStyle w:val="NoSpacing"/>
        <w:numPr>
          <w:ilvl w:val="0"/>
          <w:numId w:val="8"/>
        </w:numPr>
        <w:rPr>
          <w:rFonts w:ascii="Cambria" w:hAnsi="Cambria"/>
        </w:rPr>
      </w:pPr>
      <w:r w:rsidRPr="00CA6FC8">
        <w:rPr>
          <w:rFonts w:ascii="Cambria" w:hAnsi="Cambria"/>
        </w:rPr>
        <w:t>high wholesale roaming charges</w:t>
      </w:r>
    </w:p>
    <w:p w14:paraId="2F2C431C" w14:textId="77777777" w:rsidR="00CA6FC8" w:rsidRPr="00CA6FC8" w:rsidRDefault="00CA6FC8" w:rsidP="002866FA">
      <w:pPr>
        <w:pStyle w:val="NoSpacing"/>
        <w:numPr>
          <w:ilvl w:val="0"/>
          <w:numId w:val="8"/>
        </w:numPr>
        <w:rPr>
          <w:rFonts w:ascii="Cambria" w:hAnsi="Cambria"/>
        </w:rPr>
      </w:pPr>
      <w:r w:rsidRPr="00CA6FC8">
        <w:rPr>
          <w:rFonts w:ascii="Cambria" w:hAnsi="Cambria"/>
        </w:rPr>
        <w:t>lack of transparency in pricing</w:t>
      </w:r>
    </w:p>
    <w:p w14:paraId="50176123" w14:textId="77777777" w:rsidR="00CA6FC8" w:rsidRPr="00CA6FC8" w:rsidRDefault="00CA6FC8" w:rsidP="002866FA">
      <w:pPr>
        <w:pStyle w:val="NoSpacing"/>
        <w:numPr>
          <w:ilvl w:val="0"/>
          <w:numId w:val="8"/>
        </w:numPr>
        <w:rPr>
          <w:rFonts w:ascii="Cambria" w:hAnsi="Cambria"/>
        </w:rPr>
      </w:pPr>
      <w:r w:rsidRPr="00CA6FC8">
        <w:rPr>
          <w:rFonts w:ascii="Cambria" w:hAnsi="Cambria"/>
        </w:rPr>
        <w:t>variations in rates across bilateral agreements.</w:t>
      </w:r>
    </w:p>
    <w:p w14:paraId="068A092F" w14:textId="77777777" w:rsidR="00CA6FC8" w:rsidRDefault="00CA6FC8" w:rsidP="00CA6FC8">
      <w:pPr>
        <w:spacing w:line="360" w:lineRule="auto"/>
        <w:jc w:val="both"/>
        <w:rPr>
          <w:rFonts w:ascii="Cambria" w:hAnsi="Cambria" w:cs="Cambria"/>
        </w:rPr>
      </w:pPr>
    </w:p>
    <w:p w14:paraId="2BF65EFF" w14:textId="5776E05C" w:rsidR="00CA6FC8" w:rsidRDefault="00CA6FC8" w:rsidP="00CA6FC8">
      <w:pPr>
        <w:pStyle w:val="NoSpacing"/>
        <w:rPr>
          <w:rFonts w:ascii="Cambria" w:hAnsi="Cambria"/>
        </w:rPr>
      </w:pPr>
      <w:r w:rsidRPr="00CA6FC8">
        <w:rPr>
          <w:rFonts w:ascii="Cambria" w:hAnsi="Cambria"/>
        </w:rPr>
        <w:t>In response, the Authority is initiating this consultation to seek stakeholder views on the introduction of a benchmark-based regulatory framework for national roaming wholesale rates.</w:t>
      </w:r>
    </w:p>
    <w:p w14:paraId="7A0BB0E9" w14:textId="77777777" w:rsidR="00CA6FC8" w:rsidRPr="00CA6FC8" w:rsidRDefault="00CA6FC8" w:rsidP="00CA6FC8">
      <w:pPr>
        <w:pStyle w:val="NoSpacing"/>
        <w:rPr>
          <w:rFonts w:ascii="Cambria" w:hAnsi="Cambria"/>
        </w:rPr>
      </w:pPr>
    </w:p>
    <w:p w14:paraId="25A729F7" w14:textId="6C31D989" w:rsidR="00CA6FC8" w:rsidRPr="00CA6FC8" w:rsidRDefault="00CA6FC8" w:rsidP="00CA6FC8">
      <w:pPr>
        <w:pStyle w:val="Heading2"/>
        <w:numPr>
          <w:ilvl w:val="1"/>
          <w:numId w:val="1"/>
        </w:numPr>
        <w:spacing w:line="360" w:lineRule="auto"/>
        <w:ind w:left="567"/>
        <w:rPr>
          <w:rFonts w:ascii="Cambria" w:hAnsi="Cambria" w:cs="Cambria"/>
          <w:sz w:val="24"/>
          <w:szCs w:val="24"/>
        </w:rPr>
      </w:pPr>
      <w:bookmarkStart w:id="12" w:name="_Toc223979929"/>
      <w:r w:rsidRPr="00CA6FC8">
        <w:rPr>
          <w:rFonts w:ascii="Cambria" w:hAnsi="Cambria" w:cs="Cambria"/>
          <w:sz w:val="24"/>
          <w:szCs w:val="24"/>
        </w:rPr>
        <w:t>Policy Context and Rationale</w:t>
      </w:r>
      <w:bookmarkEnd w:id="12"/>
    </w:p>
    <w:p w14:paraId="1901AD98" w14:textId="77777777" w:rsidR="00CA6FC8" w:rsidRPr="00CA6FC8" w:rsidRDefault="00CA6FC8" w:rsidP="00CA6FC8">
      <w:pPr>
        <w:pStyle w:val="NoSpacing"/>
        <w:rPr>
          <w:rFonts w:ascii="Cambria" w:hAnsi="Cambria"/>
        </w:rPr>
      </w:pPr>
      <w:r w:rsidRPr="00CA6FC8">
        <w:rPr>
          <w:rFonts w:ascii="Cambria" w:hAnsi="Cambria"/>
        </w:rPr>
        <w:t>Differences in network coverage and infrastructure investment among mobile network operators have created competitive asymmetries within the Ghanaian telecommunications market.</w:t>
      </w:r>
    </w:p>
    <w:p w14:paraId="4AB887E3" w14:textId="77777777" w:rsidR="00CA6FC8" w:rsidRDefault="00CA6FC8" w:rsidP="00CA6FC8">
      <w:pPr>
        <w:pStyle w:val="NoSpacing"/>
        <w:rPr>
          <w:rFonts w:ascii="Cambria" w:hAnsi="Cambria"/>
        </w:rPr>
      </w:pPr>
    </w:p>
    <w:p w14:paraId="706D50EB" w14:textId="47560988" w:rsidR="00CA6FC8" w:rsidRPr="00CA6FC8" w:rsidRDefault="00CA6FC8" w:rsidP="00CA6FC8">
      <w:pPr>
        <w:pStyle w:val="NoSpacing"/>
        <w:rPr>
          <w:rFonts w:ascii="Cambria" w:hAnsi="Cambria"/>
        </w:rPr>
      </w:pPr>
      <w:r w:rsidRPr="00CA6FC8">
        <w:rPr>
          <w:rFonts w:ascii="Cambria" w:hAnsi="Cambria"/>
        </w:rPr>
        <w:t>Operators with extensive infrastructure deployment may enjoy wider coverage and economies of scale, while smaller operators may face challenges expanding network infrastructure at the same pace.</w:t>
      </w:r>
    </w:p>
    <w:p w14:paraId="116EF231" w14:textId="77777777" w:rsidR="00CA6FC8" w:rsidRDefault="00CA6FC8" w:rsidP="00CA6FC8">
      <w:pPr>
        <w:pStyle w:val="NoSpacing"/>
        <w:rPr>
          <w:rFonts w:ascii="Cambria" w:hAnsi="Cambria"/>
        </w:rPr>
      </w:pPr>
    </w:p>
    <w:p w14:paraId="2CC64A1F" w14:textId="2441F55F" w:rsidR="00CA6FC8" w:rsidRPr="00CA6FC8" w:rsidRDefault="00CA6FC8" w:rsidP="00CA6FC8">
      <w:pPr>
        <w:pStyle w:val="NoSpacing"/>
        <w:rPr>
          <w:rFonts w:ascii="Cambria" w:hAnsi="Cambria"/>
        </w:rPr>
      </w:pPr>
      <w:r w:rsidRPr="00CA6FC8">
        <w:rPr>
          <w:rFonts w:ascii="Cambria" w:hAnsi="Cambria"/>
        </w:rPr>
        <w:t>National roaming arrangements can therefore serve as an important regulatory tool to:</w:t>
      </w:r>
    </w:p>
    <w:p w14:paraId="4E165FC0" w14:textId="77777777" w:rsidR="00CA6FC8" w:rsidRPr="00CA6FC8" w:rsidRDefault="00CA6FC8" w:rsidP="002866FA">
      <w:pPr>
        <w:pStyle w:val="NoSpacing"/>
        <w:numPr>
          <w:ilvl w:val="0"/>
          <w:numId w:val="9"/>
        </w:numPr>
        <w:rPr>
          <w:rFonts w:ascii="Cambria" w:hAnsi="Cambria"/>
        </w:rPr>
      </w:pPr>
      <w:r w:rsidRPr="00CA6FC8">
        <w:rPr>
          <w:rFonts w:ascii="Cambria" w:hAnsi="Cambria"/>
        </w:rPr>
        <w:t>enhance competition</w:t>
      </w:r>
    </w:p>
    <w:p w14:paraId="4B643672" w14:textId="77777777" w:rsidR="00CA6FC8" w:rsidRPr="00CA6FC8" w:rsidRDefault="00CA6FC8" w:rsidP="002866FA">
      <w:pPr>
        <w:pStyle w:val="NoSpacing"/>
        <w:numPr>
          <w:ilvl w:val="0"/>
          <w:numId w:val="9"/>
        </w:numPr>
        <w:rPr>
          <w:rFonts w:ascii="Cambria" w:hAnsi="Cambria"/>
        </w:rPr>
      </w:pPr>
      <w:r w:rsidRPr="00CA6FC8">
        <w:rPr>
          <w:rFonts w:ascii="Cambria" w:hAnsi="Cambria"/>
        </w:rPr>
        <w:t>improve service availability</w:t>
      </w:r>
    </w:p>
    <w:p w14:paraId="5E898A41" w14:textId="77777777" w:rsidR="00CA6FC8" w:rsidRPr="00CA6FC8" w:rsidRDefault="00CA6FC8" w:rsidP="002866FA">
      <w:pPr>
        <w:pStyle w:val="NoSpacing"/>
        <w:numPr>
          <w:ilvl w:val="0"/>
          <w:numId w:val="9"/>
        </w:numPr>
        <w:rPr>
          <w:rFonts w:ascii="Cambria" w:hAnsi="Cambria"/>
        </w:rPr>
      </w:pPr>
      <w:r w:rsidRPr="00CA6FC8">
        <w:rPr>
          <w:rFonts w:ascii="Cambria" w:hAnsi="Cambria"/>
        </w:rPr>
        <w:t>promote efficient utilisation of telecommunications infrastructure.</w:t>
      </w:r>
    </w:p>
    <w:p w14:paraId="5F288DB9" w14:textId="77777777" w:rsidR="00CA6FC8" w:rsidRDefault="00CA6FC8" w:rsidP="00CA6FC8">
      <w:pPr>
        <w:pStyle w:val="NoSpacing"/>
        <w:rPr>
          <w:rFonts w:ascii="Cambria" w:hAnsi="Cambria"/>
        </w:rPr>
      </w:pPr>
    </w:p>
    <w:p w14:paraId="5D89CD75" w14:textId="6CF3C70F" w:rsidR="00CA6FC8" w:rsidRPr="00CA6FC8" w:rsidRDefault="00CA6FC8" w:rsidP="00CA6FC8">
      <w:pPr>
        <w:pStyle w:val="NoSpacing"/>
        <w:rPr>
          <w:rFonts w:ascii="Cambria" w:hAnsi="Cambria"/>
        </w:rPr>
      </w:pPr>
      <w:r w:rsidRPr="00CA6FC8">
        <w:rPr>
          <w:rFonts w:ascii="Cambria" w:hAnsi="Cambria"/>
        </w:rPr>
        <w:t>However, where wholesale roaming charges are determined solely through bilateral negotiations, pricing outcomes may reflect differences in bargaining power between operators rather than efficient market outcomes.</w:t>
      </w:r>
    </w:p>
    <w:p w14:paraId="59E6AA83" w14:textId="77777777" w:rsidR="00CA6FC8" w:rsidRDefault="00CA6FC8" w:rsidP="00CA6FC8">
      <w:pPr>
        <w:pStyle w:val="NoSpacing"/>
        <w:rPr>
          <w:rFonts w:ascii="Cambria" w:hAnsi="Cambria"/>
        </w:rPr>
      </w:pPr>
    </w:p>
    <w:p w14:paraId="0A9BE649" w14:textId="31D1D50A" w:rsidR="00CA6FC8" w:rsidRDefault="00CA6FC8" w:rsidP="00CA6FC8">
      <w:pPr>
        <w:pStyle w:val="NoSpacing"/>
        <w:rPr>
          <w:rFonts w:ascii="Cambria" w:hAnsi="Cambria"/>
        </w:rPr>
      </w:pPr>
      <w:r w:rsidRPr="00CA6FC8">
        <w:rPr>
          <w:rFonts w:ascii="Cambria" w:hAnsi="Cambria"/>
        </w:rPr>
        <w:t>A transparent framework for determining wholesale roaming rates can therefore help to ensure that such rates remain reasonable, predictable and supportive of sustainable competition.</w:t>
      </w:r>
    </w:p>
    <w:p w14:paraId="0059302C" w14:textId="77777777" w:rsidR="00CA6FC8" w:rsidRPr="00CA6FC8" w:rsidRDefault="00CA6FC8" w:rsidP="00CA6FC8">
      <w:pPr>
        <w:pStyle w:val="NoSpacing"/>
        <w:rPr>
          <w:rFonts w:ascii="Cambria" w:hAnsi="Cambria"/>
        </w:rPr>
      </w:pPr>
    </w:p>
    <w:p w14:paraId="19DE3DC3" w14:textId="632A82BE" w:rsidR="00CA6FC8" w:rsidRPr="00CA6FC8" w:rsidRDefault="00CA6FC8" w:rsidP="00CA6FC8">
      <w:pPr>
        <w:pStyle w:val="Heading2"/>
        <w:numPr>
          <w:ilvl w:val="1"/>
          <w:numId w:val="1"/>
        </w:numPr>
        <w:spacing w:line="360" w:lineRule="auto"/>
        <w:ind w:left="567"/>
        <w:rPr>
          <w:rFonts w:ascii="Cambria" w:hAnsi="Cambria" w:cs="Cambria"/>
          <w:sz w:val="24"/>
          <w:szCs w:val="24"/>
        </w:rPr>
      </w:pPr>
      <w:bookmarkStart w:id="13" w:name="_Toc223979930"/>
      <w:r w:rsidRPr="00CA6FC8">
        <w:rPr>
          <w:rFonts w:ascii="Cambria" w:hAnsi="Cambria" w:cs="Cambria"/>
          <w:sz w:val="24"/>
          <w:szCs w:val="24"/>
        </w:rPr>
        <w:t>Scope of this Document</w:t>
      </w:r>
      <w:bookmarkEnd w:id="13"/>
    </w:p>
    <w:p w14:paraId="7DF42100" w14:textId="77777777" w:rsidR="00CA6FC8" w:rsidRPr="00CA6FC8" w:rsidRDefault="00CA6FC8" w:rsidP="00CA6FC8">
      <w:pPr>
        <w:pStyle w:val="NoSpacing"/>
        <w:rPr>
          <w:rFonts w:ascii="Cambria" w:hAnsi="Cambria"/>
        </w:rPr>
      </w:pPr>
      <w:r w:rsidRPr="00CA6FC8">
        <w:rPr>
          <w:rFonts w:ascii="Cambria" w:hAnsi="Cambria"/>
        </w:rPr>
        <w:t>This consultation document presents the Authority’s draft framework for regulating national roaming wholesale rates in Ghana.</w:t>
      </w:r>
    </w:p>
    <w:p w14:paraId="200FBE4B" w14:textId="77777777" w:rsidR="00CA6FC8" w:rsidRDefault="00CA6FC8" w:rsidP="00CA6FC8">
      <w:pPr>
        <w:pStyle w:val="NoSpacing"/>
        <w:rPr>
          <w:rFonts w:ascii="Cambria" w:hAnsi="Cambria"/>
        </w:rPr>
      </w:pPr>
    </w:p>
    <w:p w14:paraId="19A301ED" w14:textId="13A79BC6" w:rsidR="00CA6FC8" w:rsidRPr="00CA6FC8" w:rsidRDefault="00CA6FC8" w:rsidP="00CA6FC8">
      <w:pPr>
        <w:pStyle w:val="NoSpacing"/>
        <w:rPr>
          <w:rFonts w:ascii="Cambria" w:hAnsi="Cambria"/>
        </w:rPr>
      </w:pPr>
      <w:r w:rsidRPr="00CA6FC8">
        <w:rPr>
          <w:rFonts w:ascii="Cambria" w:hAnsi="Cambria"/>
        </w:rPr>
        <w:t>The document outlines:</w:t>
      </w:r>
    </w:p>
    <w:p w14:paraId="1D8D9D6B" w14:textId="77777777" w:rsidR="00CA6FC8" w:rsidRPr="00CA6FC8" w:rsidRDefault="00CA6FC8" w:rsidP="002866FA">
      <w:pPr>
        <w:pStyle w:val="NoSpacing"/>
        <w:numPr>
          <w:ilvl w:val="0"/>
          <w:numId w:val="10"/>
        </w:numPr>
        <w:rPr>
          <w:rFonts w:ascii="Cambria" w:hAnsi="Cambria"/>
        </w:rPr>
      </w:pPr>
      <w:r w:rsidRPr="00CA6FC8">
        <w:rPr>
          <w:rFonts w:ascii="Cambria" w:hAnsi="Cambria"/>
        </w:rPr>
        <w:t>the methodology used to determine benchmark wholesale roaming rates</w:t>
      </w:r>
    </w:p>
    <w:p w14:paraId="5CDCCDD0" w14:textId="77777777" w:rsidR="00CA6FC8" w:rsidRPr="00CA6FC8" w:rsidRDefault="00CA6FC8" w:rsidP="002866FA">
      <w:pPr>
        <w:pStyle w:val="NoSpacing"/>
        <w:numPr>
          <w:ilvl w:val="0"/>
          <w:numId w:val="10"/>
        </w:numPr>
        <w:rPr>
          <w:rFonts w:ascii="Cambria" w:hAnsi="Cambria"/>
        </w:rPr>
      </w:pPr>
      <w:r w:rsidRPr="00CA6FC8">
        <w:rPr>
          <w:rFonts w:ascii="Cambria" w:hAnsi="Cambria"/>
        </w:rPr>
        <w:t>the services covered under national roaming arrangements</w:t>
      </w:r>
    </w:p>
    <w:p w14:paraId="1DD08A64" w14:textId="77777777" w:rsidR="00CA6FC8" w:rsidRPr="00CA6FC8" w:rsidRDefault="00CA6FC8" w:rsidP="002866FA">
      <w:pPr>
        <w:pStyle w:val="NoSpacing"/>
        <w:numPr>
          <w:ilvl w:val="0"/>
          <w:numId w:val="10"/>
        </w:numPr>
        <w:rPr>
          <w:rFonts w:ascii="Cambria" w:hAnsi="Cambria"/>
        </w:rPr>
      </w:pPr>
      <w:r w:rsidRPr="00CA6FC8">
        <w:rPr>
          <w:rFonts w:ascii="Cambria" w:hAnsi="Cambria"/>
        </w:rPr>
        <w:t>proposed reference wholesale rates</w:t>
      </w:r>
    </w:p>
    <w:p w14:paraId="6459F265" w14:textId="77777777" w:rsidR="00CA6FC8" w:rsidRPr="00CA6FC8" w:rsidRDefault="00CA6FC8" w:rsidP="002866FA">
      <w:pPr>
        <w:pStyle w:val="NoSpacing"/>
        <w:numPr>
          <w:ilvl w:val="0"/>
          <w:numId w:val="10"/>
        </w:numPr>
        <w:rPr>
          <w:rFonts w:ascii="Cambria" w:hAnsi="Cambria"/>
        </w:rPr>
      </w:pPr>
      <w:r w:rsidRPr="00CA6FC8">
        <w:rPr>
          <w:rFonts w:ascii="Cambria" w:hAnsi="Cambria"/>
        </w:rPr>
        <w:t>compliance and enforcement mechanisms.</w:t>
      </w:r>
    </w:p>
    <w:p w14:paraId="5EECD33B" w14:textId="77777777" w:rsidR="00CA6FC8" w:rsidRDefault="00CA6FC8" w:rsidP="00CA6FC8">
      <w:pPr>
        <w:pStyle w:val="NoSpacing"/>
        <w:rPr>
          <w:rFonts w:ascii="Cambria" w:hAnsi="Cambria"/>
        </w:rPr>
      </w:pPr>
    </w:p>
    <w:p w14:paraId="69B50540" w14:textId="544E67B1" w:rsidR="00CA6FC8" w:rsidRPr="00CA6FC8" w:rsidRDefault="00CA6FC8" w:rsidP="00CA6FC8">
      <w:pPr>
        <w:pStyle w:val="NoSpacing"/>
        <w:rPr>
          <w:rFonts w:ascii="Cambria" w:hAnsi="Cambria"/>
        </w:rPr>
      </w:pPr>
      <w:r w:rsidRPr="00CA6FC8">
        <w:rPr>
          <w:rFonts w:ascii="Cambria" w:hAnsi="Cambria"/>
        </w:rPr>
        <w:t>The proposed framework seeks to achieve the following objectives:</w:t>
      </w:r>
    </w:p>
    <w:p w14:paraId="60974C0E" w14:textId="77777777" w:rsidR="00CA6FC8" w:rsidRPr="00CA6FC8" w:rsidRDefault="00CA6FC8" w:rsidP="002866FA">
      <w:pPr>
        <w:pStyle w:val="NoSpacing"/>
        <w:numPr>
          <w:ilvl w:val="0"/>
          <w:numId w:val="12"/>
        </w:numPr>
        <w:rPr>
          <w:rFonts w:ascii="Cambria" w:hAnsi="Cambria"/>
          <w:b/>
          <w:bCs/>
        </w:rPr>
      </w:pPr>
      <w:r w:rsidRPr="00CA6FC8">
        <w:rPr>
          <w:rFonts w:ascii="Cambria" w:hAnsi="Cambria"/>
          <w:b/>
          <w:bCs/>
        </w:rPr>
        <w:t>Promote Fair and Effective Competition</w:t>
      </w:r>
    </w:p>
    <w:p w14:paraId="274D8CD4" w14:textId="77777777" w:rsidR="00CA6FC8" w:rsidRPr="00CA6FC8" w:rsidRDefault="00CA6FC8" w:rsidP="00CA6FC8">
      <w:pPr>
        <w:pStyle w:val="NoSpacing"/>
        <w:ind w:left="720"/>
        <w:rPr>
          <w:rFonts w:ascii="Cambria" w:hAnsi="Cambria"/>
        </w:rPr>
      </w:pPr>
      <w:r w:rsidRPr="00CA6FC8">
        <w:rPr>
          <w:rFonts w:ascii="Cambria" w:hAnsi="Cambria"/>
        </w:rPr>
        <w:t>Ensuring that all mobile network operators have reasonable access to national roaming services.</w:t>
      </w:r>
    </w:p>
    <w:p w14:paraId="1F70BA1C" w14:textId="77777777" w:rsidR="00CA6FC8" w:rsidRDefault="00CA6FC8" w:rsidP="00CA6FC8">
      <w:pPr>
        <w:pStyle w:val="NoSpacing"/>
        <w:ind w:left="360"/>
        <w:rPr>
          <w:rFonts w:ascii="Cambria" w:hAnsi="Cambria"/>
        </w:rPr>
      </w:pPr>
    </w:p>
    <w:p w14:paraId="65206F64" w14:textId="3269C9D5" w:rsidR="00CA6FC8" w:rsidRPr="00CA6FC8" w:rsidRDefault="00CA6FC8" w:rsidP="002866FA">
      <w:pPr>
        <w:pStyle w:val="NoSpacing"/>
        <w:numPr>
          <w:ilvl w:val="0"/>
          <w:numId w:val="12"/>
        </w:numPr>
        <w:rPr>
          <w:rFonts w:ascii="Cambria" w:hAnsi="Cambria"/>
          <w:b/>
          <w:bCs/>
        </w:rPr>
      </w:pPr>
      <w:r w:rsidRPr="00CA6FC8">
        <w:rPr>
          <w:rFonts w:ascii="Cambria" w:hAnsi="Cambria"/>
          <w:b/>
          <w:bCs/>
        </w:rPr>
        <w:t>Encourage Efficient Use of Infrastructure</w:t>
      </w:r>
    </w:p>
    <w:p w14:paraId="285E2905" w14:textId="77777777" w:rsidR="00CA6FC8" w:rsidRDefault="00CA6FC8" w:rsidP="00CA6FC8">
      <w:pPr>
        <w:pStyle w:val="NoSpacing"/>
        <w:ind w:left="720"/>
        <w:rPr>
          <w:rFonts w:ascii="Cambria" w:hAnsi="Cambria"/>
        </w:rPr>
      </w:pPr>
      <w:r w:rsidRPr="00CA6FC8">
        <w:rPr>
          <w:rFonts w:ascii="Cambria" w:hAnsi="Cambria"/>
        </w:rPr>
        <w:t>Facilitating the use of existing network infrastructure rather than unnecessary duplication of network investments.</w:t>
      </w:r>
    </w:p>
    <w:p w14:paraId="50125016" w14:textId="77777777" w:rsidR="00CA6FC8" w:rsidRPr="00CA6FC8" w:rsidRDefault="00CA6FC8" w:rsidP="00CA6FC8">
      <w:pPr>
        <w:pStyle w:val="NoSpacing"/>
        <w:ind w:left="720"/>
        <w:rPr>
          <w:rFonts w:ascii="Cambria" w:hAnsi="Cambria"/>
        </w:rPr>
      </w:pPr>
    </w:p>
    <w:p w14:paraId="3F58688D" w14:textId="77777777" w:rsidR="00CA6FC8" w:rsidRPr="00CA6FC8" w:rsidRDefault="00CA6FC8" w:rsidP="002866FA">
      <w:pPr>
        <w:pStyle w:val="NoSpacing"/>
        <w:numPr>
          <w:ilvl w:val="0"/>
          <w:numId w:val="11"/>
        </w:numPr>
        <w:rPr>
          <w:rFonts w:ascii="Cambria" w:hAnsi="Cambria"/>
          <w:b/>
          <w:bCs/>
        </w:rPr>
      </w:pPr>
      <w:r w:rsidRPr="00CA6FC8">
        <w:rPr>
          <w:rFonts w:ascii="Cambria" w:hAnsi="Cambria"/>
          <w:b/>
          <w:bCs/>
        </w:rPr>
        <w:t>Support Sustainable Investment</w:t>
      </w:r>
    </w:p>
    <w:p w14:paraId="3DAFCADB" w14:textId="6BD5FD12" w:rsidR="00CA6FC8" w:rsidRDefault="00CA6FC8" w:rsidP="00CA6FC8">
      <w:pPr>
        <w:pStyle w:val="NoSpacing"/>
        <w:ind w:left="720"/>
        <w:rPr>
          <w:rFonts w:ascii="Cambria" w:hAnsi="Cambria"/>
        </w:rPr>
      </w:pPr>
      <w:r w:rsidRPr="00CA6FC8">
        <w:rPr>
          <w:rFonts w:ascii="Cambria" w:hAnsi="Cambria"/>
        </w:rPr>
        <w:t>Ensuring that host operators receive reasonable compensation for providing roaming services.</w:t>
      </w:r>
    </w:p>
    <w:p w14:paraId="2BC29478" w14:textId="77777777" w:rsidR="00CA6FC8" w:rsidRPr="00CA6FC8" w:rsidRDefault="00CA6FC8" w:rsidP="00CA6FC8">
      <w:pPr>
        <w:pStyle w:val="NoSpacing"/>
        <w:ind w:left="720"/>
        <w:rPr>
          <w:rFonts w:ascii="Cambria" w:hAnsi="Cambria"/>
        </w:rPr>
      </w:pPr>
    </w:p>
    <w:p w14:paraId="1C060109" w14:textId="77777777" w:rsidR="00CA6FC8" w:rsidRPr="00CA6FC8" w:rsidRDefault="00CA6FC8" w:rsidP="002866FA">
      <w:pPr>
        <w:pStyle w:val="NoSpacing"/>
        <w:numPr>
          <w:ilvl w:val="0"/>
          <w:numId w:val="11"/>
        </w:numPr>
        <w:rPr>
          <w:rFonts w:ascii="Cambria" w:hAnsi="Cambria"/>
          <w:b/>
          <w:bCs/>
        </w:rPr>
      </w:pPr>
      <w:r w:rsidRPr="00CA6FC8">
        <w:rPr>
          <w:rFonts w:ascii="Cambria" w:hAnsi="Cambria"/>
          <w:b/>
          <w:bCs/>
        </w:rPr>
        <w:t>Prevent Anti-Competitive Conduct</w:t>
      </w:r>
    </w:p>
    <w:p w14:paraId="2D628911" w14:textId="77777777" w:rsidR="00CA6FC8" w:rsidRPr="00CA6FC8" w:rsidRDefault="00CA6FC8" w:rsidP="00CA6FC8">
      <w:pPr>
        <w:pStyle w:val="NoSpacing"/>
        <w:ind w:left="720"/>
        <w:rPr>
          <w:rFonts w:ascii="Cambria" w:hAnsi="Cambria"/>
        </w:rPr>
      </w:pPr>
      <w:r w:rsidRPr="00CA6FC8">
        <w:rPr>
          <w:rFonts w:ascii="Cambria" w:hAnsi="Cambria"/>
        </w:rPr>
        <w:t>Mitigating risks such as margin squeeze and discriminatory pricing.</w:t>
      </w:r>
    </w:p>
    <w:p w14:paraId="4F4B91A2" w14:textId="77777777" w:rsidR="00CA6FC8" w:rsidRPr="00CA6FC8" w:rsidRDefault="00CA6FC8" w:rsidP="002866FA">
      <w:pPr>
        <w:pStyle w:val="NoSpacing"/>
        <w:numPr>
          <w:ilvl w:val="0"/>
          <w:numId w:val="11"/>
        </w:numPr>
        <w:rPr>
          <w:rFonts w:ascii="Cambria" w:hAnsi="Cambria"/>
          <w:b/>
          <w:bCs/>
        </w:rPr>
      </w:pPr>
      <w:r w:rsidRPr="00CA6FC8">
        <w:rPr>
          <w:rFonts w:ascii="Cambria" w:hAnsi="Cambria"/>
          <w:b/>
          <w:bCs/>
        </w:rPr>
        <w:t>Protect Consumer Interests</w:t>
      </w:r>
    </w:p>
    <w:p w14:paraId="3979AFCC" w14:textId="6F313F05" w:rsidR="005B31DC" w:rsidRDefault="00CA6FC8" w:rsidP="00CA6FC8">
      <w:pPr>
        <w:pStyle w:val="NoSpacing"/>
        <w:ind w:left="720"/>
        <w:rPr>
          <w:rFonts w:ascii="Cambria" w:hAnsi="Cambria"/>
        </w:rPr>
      </w:pPr>
      <w:r w:rsidRPr="00CA6FC8">
        <w:rPr>
          <w:rFonts w:ascii="Cambria" w:hAnsi="Cambria"/>
        </w:rPr>
        <w:t>Improving service availability, coverage and quality for telecommunications consumers.</w:t>
      </w:r>
    </w:p>
    <w:p w14:paraId="7383DC56" w14:textId="77777777" w:rsidR="00CA6FC8" w:rsidRPr="00CA6FC8" w:rsidRDefault="00CA6FC8" w:rsidP="00CA6FC8">
      <w:pPr>
        <w:pStyle w:val="NoSpacing"/>
        <w:ind w:left="720"/>
        <w:rPr>
          <w:rFonts w:ascii="Cambria" w:hAnsi="Cambria"/>
        </w:rPr>
      </w:pPr>
    </w:p>
    <w:p w14:paraId="2E6D7EE3" w14:textId="77777777" w:rsidR="00CA6FC8" w:rsidRDefault="00CA6FC8">
      <w:pPr>
        <w:rPr>
          <w:rFonts w:ascii="Cambria" w:eastAsiaTheme="majorEastAsia" w:hAnsi="Cambria" w:cs="Cambria"/>
          <w:color w:val="2E74B5" w:themeColor="accent1" w:themeShade="BF"/>
          <w:sz w:val="32"/>
          <w:szCs w:val="32"/>
          <w:lang w:val="en-CA" w:eastAsia="en-US"/>
        </w:rPr>
      </w:pPr>
      <w:bookmarkStart w:id="14" w:name="_Toc20129"/>
      <w:bookmarkStart w:id="15" w:name="_Toc219283087"/>
      <w:r>
        <w:rPr>
          <w:rFonts w:ascii="Cambria" w:hAnsi="Cambria" w:cs="Cambria"/>
        </w:rPr>
        <w:br w:type="page"/>
      </w:r>
    </w:p>
    <w:p w14:paraId="3A113553" w14:textId="68FD5D77" w:rsidR="00CA6FC8" w:rsidRPr="00291CFB" w:rsidRDefault="00CA6FC8" w:rsidP="00CA6FC8">
      <w:pPr>
        <w:pStyle w:val="Heading1"/>
        <w:jc w:val="center"/>
        <w:rPr>
          <w:rFonts w:ascii="Cambria" w:hAnsi="Cambria" w:cs="Cambria"/>
          <w:sz w:val="28"/>
          <w:szCs w:val="28"/>
        </w:rPr>
      </w:pPr>
      <w:bookmarkStart w:id="16" w:name="_Toc223979931"/>
      <w:r w:rsidRPr="00291CFB">
        <w:rPr>
          <w:rFonts w:ascii="Cambria" w:hAnsi="Cambria" w:cs="Cambria"/>
          <w:sz w:val="28"/>
          <w:szCs w:val="28"/>
        </w:rPr>
        <w:lastRenderedPageBreak/>
        <w:t>CHAPTER 2</w:t>
      </w:r>
      <w:bookmarkEnd w:id="16"/>
    </w:p>
    <w:p w14:paraId="212FE390" w14:textId="0BF5242F" w:rsidR="005B31DC" w:rsidRPr="00291CFB" w:rsidRDefault="00945C37" w:rsidP="00CA6FC8">
      <w:pPr>
        <w:pStyle w:val="Heading1"/>
        <w:numPr>
          <w:ilvl w:val="0"/>
          <w:numId w:val="1"/>
        </w:numPr>
        <w:rPr>
          <w:rFonts w:ascii="Cambria" w:hAnsi="Cambria" w:cs="Cambria"/>
          <w:sz w:val="28"/>
          <w:szCs w:val="28"/>
        </w:rPr>
      </w:pPr>
      <w:bookmarkStart w:id="17" w:name="_Toc223979932"/>
      <w:r w:rsidRPr="00291CFB">
        <w:rPr>
          <w:rFonts w:ascii="Cambria" w:hAnsi="Cambria" w:cs="Cambria"/>
          <w:sz w:val="28"/>
          <w:szCs w:val="28"/>
        </w:rPr>
        <w:t>EXISTING NATIONAL ROAMING ARRANGEMENTS</w:t>
      </w:r>
      <w:bookmarkEnd w:id="14"/>
      <w:bookmarkEnd w:id="15"/>
      <w:bookmarkEnd w:id="17"/>
    </w:p>
    <w:p w14:paraId="57149F3C" w14:textId="595C9EC2" w:rsidR="00A34519" w:rsidRDefault="00945C37" w:rsidP="002866FA">
      <w:pPr>
        <w:pStyle w:val="Heading2"/>
        <w:numPr>
          <w:ilvl w:val="0"/>
          <w:numId w:val="2"/>
        </w:numPr>
        <w:spacing w:line="360" w:lineRule="auto"/>
        <w:ind w:left="426" w:hanging="426"/>
        <w:rPr>
          <w:rFonts w:ascii="Cambria" w:hAnsi="Cambria" w:cs="Cambria"/>
          <w:sz w:val="24"/>
          <w:szCs w:val="24"/>
        </w:rPr>
      </w:pPr>
      <w:bookmarkStart w:id="18" w:name="_Toc32662"/>
      <w:bookmarkStart w:id="19" w:name="_Toc219283088"/>
      <w:bookmarkStart w:id="20" w:name="_Toc223979933"/>
      <w:r w:rsidRPr="00D95D19">
        <w:rPr>
          <w:rFonts w:ascii="Cambria" w:hAnsi="Cambria" w:cs="Cambria"/>
          <w:sz w:val="24"/>
          <w:szCs w:val="24"/>
        </w:rPr>
        <w:t>Regulatory and Market framework</w:t>
      </w:r>
      <w:bookmarkEnd w:id="18"/>
      <w:bookmarkEnd w:id="19"/>
      <w:bookmarkEnd w:id="20"/>
    </w:p>
    <w:p w14:paraId="30084CCD" w14:textId="77777777" w:rsidR="00CA6FC8" w:rsidRPr="00CA6FC8" w:rsidRDefault="00CA6FC8" w:rsidP="00CA6FC8">
      <w:pPr>
        <w:pStyle w:val="NoSpacing"/>
        <w:rPr>
          <w:rFonts w:ascii="Cambria" w:hAnsi="Cambria"/>
          <w:szCs w:val="24"/>
          <w:lang w:eastAsia="zh-CN"/>
        </w:rPr>
      </w:pPr>
      <w:bookmarkStart w:id="21" w:name="_Toc223820002"/>
      <w:r w:rsidRPr="00CA6FC8">
        <w:rPr>
          <w:rFonts w:ascii="Cambria" w:hAnsi="Cambria"/>
        </w:rPr>
        <w:t>National roaming is widely recognised as a regulatory mechanism that can enhance competition in telecommunications markets where significant differences in network coverage exist among operators.</w:t>
      </w:r>
    </w:p>
    <w:p w14:paraId="2FA4ECCD" w14:textId="77777777" w:rsidR="00CA6FC8" w:rsidRDefault="00CA6FC8" w:rsidP="00CA6FC8">
      <w:pPr>
        <w:pStyle w:val="NoSpacing"/>
        <w:rPr>
          <w:rFonts w:ascii="Cambria" w:hAnsi="Cambria"/>
        </w:rPr>
      </w:pPr>
    </w:p>
    <w:p w14:paraId="10D33FF2" w14:textId="77777777" w:rsidR="00291CFB" w:rsidRDefault="00CA6FC8" w:rsidP="00291CFB">
      <w:pPr>
        <w:pStyle w:val="NoSpacing"/>
        <w:rPr>
          <w:rFonts w:ascii="Cambria" w:hAnsi="Cambria"/>
          <w:b/>
          <w:bCs/>
        </w:rPr>
      </w:pPr>
      <w:r w:rsidRPr="00CA6FC8">
        <w:rPr>
          <w:rFonts w:ascii="Cambria" w:hAnsi="Cambria"/>
        </w:rPr>
        <w:t>In Ghana, national roaming services are currently implemented through</w:t>
      </w:r>
      <w:r w:rsidRPr="00CA6FC8">
        <w:rPr>
          <w:rStyle w:val="apple-converted-space"/>
          <w:rFonts w:ascii="Cambria" w:hAnsi="Cambria"/>
          <w:color w:val="000000"/>
        </w:rPr>
        <w:t> </w:t>
      </w:r>
      <w:r w:rsidRPr="00CA6FC8">
        <w:rPr>
          <w:rStyle w:val="Strong"/>
          <w:rFonts w:ascii="Cambria" w:hAnsi="Cambria"/>
          <w:b w:val="0"/>
          <w:bCs w:val="0"/>
          <w:color w:val="000000"/>
        </w:rPr>
        <w:t>bilateral commercial agreements between mobile network operators</w:t>
      </w:r>
      <w:r w:rsidRPr="00CA6FC8">
        <w:rPr>
          <w:rFonts w:ascii="Cambria" w:hAnsi="Cambria"/>
          <w:b/>
          <w:bCs/>
        </w:rPr>
        <w:t>.</w:t>
      </w:r>
      <w:r w:rsidR="00291CFB">
        <w:rPr>
          <w:rFonts w:ascii="Cambria" w:hAnsi="Cambria"/>
          <w:b/>
          <w:bCs/>
        </w:rPr>
        <w:t xml:space="preserve"> </w:t>
      </w:r>
      <w:r w:rsidRPr="00CA6FC8">
        <w:rPr>
          <w:rFonts w:ascii="Cambria" w:hAnsi="Cambria"/>
        </w:rPr>
        <w:t>These agreements define the technical, operational and commercial conditions governing roaming services, including wholesale pricing arrangements.</w:t>
      </w:r>
      <w:r w:rsidR="00291CFB">
        <w:rPr>
          <w:rFonts w:ascii="Cambria" w:hAnsi="Cambria"/>
          <w:b/>
          <w:bCs/>
        </w:rPr>
        <w:t xml:space="preserve"> </w:t>
      </w:r>
    </w:p>
    <w:p w14:paraId="6F700328" w14:textId="77777777" w:rsidR="00291CFB" w:rsidRDefault="00291CFB" w:rsidP="00291CFB">
      <w:pPr>
        <w:pStyle w:val="NoSpacing"/>
        <w:rPr>
          <w:rFonts w:ascii="Cambria" w:hAnsi="Cambria"/>
          <w:b/>
          <w:bCs/>
        </w:rPr>
      </w:pPr>
    </w:p>
    <w:p w14:paraId="2F436629" w14:textId="19EAEEA0" w:rsidR="00A34519" w:rsidRDefault="00CA6FC8" w:rsidP="00291CFB">
      <w:pPr>
        <w:pStyle w:val="NoSpacing"/>
        <w:rPr>
          <w:rFonts w:ascii="Cambria" w:hAnsi="Cambria"/>
        </w:rPr>
      </w:pPr>
      <w:r w:rsidRPr="00CA6FC8">
        <w:rPr>
          <w:rFonts w:ascii="Cambria" w:hAnsi="Cambria"/>
        </w:rPr>
        <w:t>While bilateral agreements provide flexibility, wholesale roaming rates are determined through commercial negotiations rather than through a regulated framework.</w:t>
      </w:r>
      <w:r w:rsidR="00291CFB">
        <w:rPr>
          <w:rFonts w:ascii="Cambria" w:hAnsi="Cambria"/>
          <w:b/>
          <w:bCs/>
        </w:rPr>
        <w:t xml:space="preserve"> </w:t>
      </w:r>
      <w:r w:rsidR="005B600C" w:rsidRPr="005B600C">
        <w:rPr>
          <w:rFonts w:ascii="Cambria" w:hAnsi="Cambria"/>
        </w:rPr>
        <w:t>In accordance with the Electronic Communications Act, 2008 (Act 775) and the National Telecommunications Policy, 2005,</w:t>
      </w:r>
      <w:r w:rsidR="005B600C">
        <w:rPr>
          <w:rFonts w:ascii="Cambria" w:hAnsi="Cambria"/>
        </w:rPr>
        <w:t xml:space="preserve"> t</w:t>
      </w:r>
      <w:r w:rsidRPr="00CA6FC8">
        <w:rPr>
          <w:rFonts w:ascii="Cambria" w:hAnsi="Cambria"/>
        </w:rPr>
        <w:t>he Authority retains the mandate to intervene where necessary to ensure that access arrangements between operators support competition and consumer welfare.</w:t>
      </w:r>
      <w:bookmarkEnd w:id="21"/>
    </w:p>
    <w:p w14:paraId="3A35D20C" w14:textId="77777777" w:rsidR="00291CFB" w:rsidRPr="00291CFB" w:rsidRDefault="00291CFB" w:rsidP="00291CFB">
      <w:pPr>
        <w:pStyle w:val="NoSpacing"/>
        <w:rPr>
          <w:rFonts w:ascii="Cambria" w:hAnsi="Cambria"/>
          <w:b/>
          <w:bCs/>
        </w:rPr>
      </w:pPr>
    </w:p>
    <w:p w14:paraId="1379F36E" w14:textId="0055DEED" w:rsidR="005B600C" w:rsidRDefault="005B600C" w:rsidP="002866FA">
      <w:pPr>
        <w:pStyle w:val="Heading2"/>
        <w:numPr>
          <w:ilvl w:val="0"/>
          <w:numId w:val="2"/>
        </w:numPr>
        <w:spacing w:line="360" w:lineRule="auto"/>
        <w:ind w:left="426" w:hanging="426"/>
        <w:rPr>
          <w:rFonts w:ascii="Cambria" w:hAnsi="Cambria" w:cs="Cambria"/>
          <w:sz w:val="24"/>
          <w:szCs w:val="24"/>
        </w:rPr>
      </w:pPr>
      <w:bookmarkStart w:id="22" w:name="_Toc223979934"/>
      <w:bookmarkStart w:id="23" w:name="_Toc219283089"/>
      <w:bookmarkStart w:id="24" w:name="_Toc5039"/>
      <w:r w:rsidRPr="005B600C">
        <w:rPr>
          <w:rFonts w:ascii="Cambria" w:hAnsi="Cambria" w:cs="Cambria"/>
          <w:sz w:val="24"/>
          <w:szCs w:val="24"/>
        </w:rPr>
        <w:t>Existing National Roaming Data Rate Arrangements</w:t>
      </w:r>
      <w:bookmarkEnd w:id="22"/>
    </w:p>
    <w:p w14:paraId="534C3634" w14:textId="77777777" w:rsidR="005B600C" w:rsidRDefault="005B600C" w:rsidP="005B600C">
      <w:pPr>
        <w:pStyle w:val="NoSpacing"/>
        <w:rPr>
          <w:rFonts w:ascii="Cambria" w:hAnsi="Cambria"/>
        </w:rPr>
      </w:pPr>
      <w:r w:rsidRPr="005B600C">
        <w:rPr>
          <w:rFonts w:ascii="Cambria" w:hAnsi="Cambria"/>
        </w:rPr>
        <w:t>As part of the Authority’s review of national roaming arrangements, an assessment was conducted of wholesale roaming data rates currently applied in bilateral agreements between operators.</w:t>
      </w:r>
    </w:p>
    <w:p w14:paraId="638E6F86" w14:textId="77777777" w:rsidR="005B600C" w:rsidRPr="005B600C" w:rsidRDefault="005B600C" w:rsidP="005B600C">
      <w:pPr>
        <w:pStyle w:val="NoSpacing"/>
        <w:rPr>
          <w:rFonts w:ascii="Cambria" w:hAnsi="Cambria"/>
        </w:rPr>
      </w:pPr>
    </w:p>
    <w:p w14:paraId="2D64FE75" w14:textId="77777777" w:rsidR="006A28B5" w:rsidRDefault="005B600C" w:rsidP="006A28B5">
      <w:pPr>
        <w:pStyle w:val="NoSpacing"/>
        <w:rPr>
          <w:rFonts w:ascii="Cambria" w:hAnsi="Cambria"/>
        </w:rPr>
      </w:pPr>
      <w:r w:rsidRPr="005B600C">
        <w:rPr>
          <w:rFonts w:ascii="Cambria" w:hAnsi="Cambria"/>
        </w:rPr>
        <w:t xml:space="preserve">The review indicated that wholesale data roaming rates vary across existing bilateral arrangements. </w:t>
      </w:r>
      <w:r w:rsidR="006A28B5" w:rsidRPr="006A28B5">
        <w:rPr>
          <w:rFonts w:ascii="Cambria" w:hAnsi="Cambria"/>
        </w:rPr>
        <w:t>The analysis indicates that wholesale data roaming rates currently applied in bilateral agreements range between GHS 3.39 and GHS 5.30 per gigabyte, while roaming services provided through infrastructure deployed under the Ghana Investment Fund for Electronic Communications (GIFEC) rural telephony project are priced at approximately GHS 7.00 per gigabyte.</w:t>
      </w:r>
    </w:p>
    <w:p w14:paraId="4B175C39" w14:textId="77777777" w:rsidR="006A28B5" w:rsidRPr="006A28B5" w:rsidRDefault="006A28B5" w:rsidP="006A28B5">
      <w:pPr>
        <w:pStyle w:val="NoSpacing"/>
        <w:rPr>
          <w:rFonts w:ascii="Cambria" w:hAnsi="Cambria"/>
        </w:rPr>
      </w:pPr>
    </w:p>
    <w:p w14:paraId="1682A14D" w14:textId="77777777" w:rsidR="006A28B5" w:rsidRDefault="006A28B5" w:rsidP="006A28B5">
      <w:pPr>
        <w:pStyle w:val="NoSpacing"/>
        <w:rPr>
          <w:rFonts w:ascii="Cambria" w:hAnsi="Cambria"/>
        </w:rPr>
      </w:pPr>
      <w:r w:rsidRPr="006A28B5">
        <w:rPr>
          <w:rFonts w:ascii="Cambria" w:hAnsi="Cambria"/>
        </w:rPr>
        <w:t>Based on this assessment, the Authority has proposed a benchmark wholesale reference rate of GHS 3.30 per gigabyte, which is broadly aligned with the lower range of existing bilateral roaming rates.</w:t>
      </w:r>
    </w:p>
    <w:p w14:paraId="5AADEF31" w14:textId="77777777" w:rsidR="006A28B5" w:rsidRPr="006A28B5" w:rsidRDefault="006A28B5" w:rsidP="006A28B5">
      <w:pPr>
        <w:pStyle w:val="NoSpacing"/>
        <w:rPr>
          <w:rFonts w:ascii="Cambria" w:hAnsi="Cambria"/>
        </w:rPr>
      </w:pPr>
    </w:p>
    <w:p w14:paraId="2C72D5CC" w14:textId="77777777" w:rsidR="006A28B5" w:rsidRPr="006A28B5" w:rsidRDefault="006A28B5" w:rsidP="006A28B5">
      <w:pPr>
        <w:pStyle w:val="NoSpacing"/>
        <w:rPr>
          <w:rFonts w:ascii="Cambria" w:hAnsi="Cambria"/>
        </w:rPr>
      </w:pPr>
      <w:r w:rsidRPr="006A28B5">
        <w:rPr>
          <w:rFonts w:ascii="Cambria" w:hAnsi="Cambria"/>
        </w:rPr>
        <w:t>The proposed benchmark rate is intended to:</w:t>
      </w:r>
    </w:p>
    <w:p w14:paraId="4C80D03F" w14:textId="77777777" w:rsidR="006A28B5" w:rsidRPr="006A28B5" w:rsidRDefault="006A28B5" w:rsidP="002866FA">
      <w:pPr>
        <w:pStyle w:val="NoSpacing"/>
        <w:numPr>
          <w:ilvl w:val="0"/>
          <w:numId w:val="11"/>
        </w:numPr>
        <w:rPr>
          <w:rFonts w:ascii="Cambria" w:hAnsi="Cambria"/>
        </w:rPr>
      </w:pPr>
      <w:r w:rsidRPr="006A28B5">
        <w:rPr>
          <w:rFonts w:ascii="Cambria" w:hAnsi="Cambria"/>
        </w:rPr>
        <w:t>improve transparency in wholesale roaming pricing</w:t>
      </w:r>
    </w:p>
    <w:p w14:paraId="04C1D243" w14:textId="77777777" w:rsidR="006A28B5" w:rsidRPr="006A28B5" w:rsidRDefault="006A28B5" w:rsidP="002866FA">
      <w:pPr>
        <w:pStyle w:val="NoSpacing"/>
        <w:numPr>
          <w:ilvl w:val="0"/>
          <w:numId w:val="11"/>
        </w:numPr>
        <w:rPr>
          <w:rFonts w:ascii="Cambria" w:hAnsi="Cambria"/>
        </w:rPr>
      </w:pPr>
      <w:r w:rsidRPr="006A28B5">
        <w:rPr>
          <w:rFonts w:ascii="Cambria" w:hAnsi="Cambria"/>
        </w:rPr>
        <w:t>ensure greater consistency across roaming arrangements</w:t>
      </w:r>
    </w:p>
    <w:p w14:paraId="0A69B7C5" w14:textId="1AAC11DC" w:rsidR="005B600C" w:rsidRPr="006A28B5" w:rsidRDefault="006A28B5" w:rsidP="002866FA">
      <w:pPr>
        <w:pStyle w:val="NoSpacing"/>
        <w:numPr>
          <w:ilvl w:val="0"/>
          <w:numId w:val="11"/>
        </w:numPr>
        <w:rPr>
          <w:rFonts w:ascii="Cambria" w:hAnsi="Cambria"/>
          <w:lang w:val="en-US"/>
        </w:rPr>
      </w:pPr>
      <w:r w:rsidRPr="006A28B5">
        <w:rPr>
          <w:rFonts w:ascii="Cambria" w:hAnsi="Cambria"/>
        </w:rPr>
        <w:t>support competitive retail pricing for mobile data services.</w:t>
      </w:r>
    </w:p>
    <w:p w14:paraId="7EF9E70C" w14:textId="77777777" w:rsidR="005B600C" w:rsidRPr="005B600C" w:rsidRDefault="005B600C" w:rsidP="005B600C">
      <w:pPr>
        <w:rPr>
          <w:lang w:val="en-CA" w:eastAsia="en-US"/>
        </w:rPr>
      </w:pPr>
    </w:p>
    <w:p w14:paraId="746342A5" w14:textId="27A58206" w:rsidR="005B31DC" w:rsidRPr="00D95D19" w:rsidRDefault="00945C37" w:rsidP="002866FA">
      <w:pPr>
        <w:pStyle w:val="Heading2"/>
        <w:numPr>
          <w:ilvl w:val="0"/>
          <w:numId w:val="2"/>
        </w:numPr>
        <w:spacing w:line="360" w:lineRule="auto"/>
        <w:ind w:left="426" w:hanging="426"/>
        <w:rPr>
          <w:rFonts w:ascii="Cambria" w:hAnsi="Cambria" w:cs="Cambria"/>
          <w:sz w:val="24"/>
          <w:szCs w:val="24"/>
        </w:rPr>
      </w:pPr>
      <w:bookmarkStart w:id="25" w:name="_Toc223979935"/>
      <w:r w:rsidRPr="00D95D19">
        <w:rPr>
          <w:rFonts w:ascii="Cambria" w:hAnsi="Cambria" w:cs="Cambria"/>
          <w:sz w:val="24"/>
          <w:szCs w:val="24"/>
        </w:rPr>
        <w:t>Limitations of the Existing Bilateral Roaming Framework</w:t>
      </w:r>
      <w:bookmarkEnd w:id="23"/>
      <w:bookmarkEnd w:id="24"/>
      <w:bookmarkEnd w:id="25"/>
    </w:p>
    <w:p w14:paraId="2BBE5454" w14:textId="7EAAB8E3" w:rsidR="00291CFB" w:rsidRPr="00291CFB" w:rsidRDefault="00291CFB" w:rsidP="00291CFB">
      <w:pPr>
        <w:pStyle w:val="NoSpacing"/>
        <w:rPr>
          <w:rFonts w:ascii="Cambria" w:hAnsi="Cambria"/>
        </w:rPr>
      </w:pPr>
      <w:r w:rsidRPr="00291CFB">
        <w:rPr>
          <w:rFonts w:ascii="Cambria" w:hAnsi="Cambria"/>
        </w:rPr>
        <w:t>Although bilateral roaming agreements have enabled network access, several limitations have been identified.</w:t>
      </w:r>
      <w:r>
        <w:rPr>
          <w:rFonts w:ascii="Cambria" w:hAnsi="Cambria"/>
        </w:rPr>
        <w:t xml:space="preserve"> </w:t>
      </w:r>
      <w:r w:rsidRPr="00291CFB">
        <w:rPr>
          <w:rFonts w:ascii="Cambria" w:hAnsi="Cambria"/>
        </w:rPr>
        <w:t>These include:</w:t>
      </w:r>
    </w:p>
    <w:p w14:paraId="3FB5E691" w14:textId="77777777" w:rsidR="00291CFB" w:rsidRPr="00291CFB" w:rsidRDefault="00291CFB" w:rsidP="002866FA">
      <w:pPr>
        <w:pStyle w:val="NoSpacing"/>
        <w:numPr>
          <w:ilvl w:val="0"/>
          <w:numId w:val="11"/>
        </w:numPr>
        <w:rPr>
          <w:rFonts w:ascii="Cambria" w:hAnsi="Cambria"/>
        </w:rPr>
      </w:pPr>
      <w:r w:rsidRPr="00291CFB">
        <w:rPr>
          <w:rFonts w:ascii="Cambria" w:hAnsi="Cambria"/>
        </w:rPr>
        <w:t>variations in wholesale roaming rates across operators</w:t>
      </w:r>
    </w:p>
    <w:p w14:paraId="405B3087" w14:textId="77777777" w:rsidR="00291CFB" w:rsidRPr="00291CFB" w:rsidRDefault="00291CFB" w:rsidP="002866FA">
      <w:pPr>
        <w:pStyle w:val="NoSpacing"/>
        <w:numPr>
          <w:ilvl w:val="0"/>
          <w:numId w:val="11"/>
        </w:numPr>
        <w:rPr>
          <w:rFonts w:ascii="Cambria" w:hAnsi="Cambria"/>
        </w:rPr>
      </w:pPr>
      <w:r w:rsidRPr="00291CFB">
        <w:rPr>
          <w:rFonts w:ascii="Cambria" w:hAnsi="Cambria"/>
        </w:rPr>
        <w:t>lack of transparency in pricing structures</w:t>
      </w:r>
    </w:p>
    <w:p w14:paraId="05617B72" w14:textId="77777777" w:rsidR="00291CFB" w:rsidRPr="00291CFB" w:rsidRDefault="00291CFB" w:rsidP="002866FA">
      <w:pPr>
        <w:pStyle w:val="NoSpacing"/>
        <w:numPr>
          <w:ilvl w:val="0"/>
          <w:numId w:val="11"/>
        </w:numPr>
        <w:rPr>
          <w:rFonts w:ascii="Cambria" w:hAnsi="Cambria"/>
        </w:rPr>
      </w:pPr>
      <w:r w:rsidRPr="00291CFB">
        <w:rPr>
          <w:rFonts w:ascii="Cambria" w:hAnsi="Cambria"/>
        </w:rPr>
        <w:t>potential imbalance in bargaining power during negotiations.</w:t>
      </w:r>
    </w:p>
    <w:p w14:paraId="4E71482B" w14:textId="77777777" w:rsidR="00291CFB" w:rsidRDefault="00291CFB" w:rsidP="00291CFB">
      <w:pPr>
        <w:pStyle w:val="NoSpacing"/>
        <w:rPr>
          <w:rFonts w:ascii="Cambria" w:hAnsi="Cambria"/>
        </w:rPr>
      </w:pPr>
    </w:p>
    <w:p w14:paraId="0B7FDBB2" w14:textId="1A55F439" w:rsidR="00306778" w:rsidRDefault="00291CFB" w:rsidP="00291CFB">
      <w:pPr>
        <w:pStyle w:val="NoSpacing"/>
        <w:rPr>
          <w:rFonts w:ascii="Cambria" w:hAnsi="Cambria"/>
        </w:rPr>
      </w:pPr>
      <w:r w:rsidRPr="00291CFB">
        <w:rPr>
          <w:rFonts w:ascii="Cambria" w:hAnsi="Cambria"/>
        </w:rPr>
        <w:t>Where such conditions exist, wholesale roaming charges may not always reflect efficient market outcomes.</w:t>
      </w:r>
      <w:r>
        <w:rPr>
          <w:rFonts w:ascii="Cambria" w:hAnsi="Cambria"/>
        </w:rPr>
        <w:t xml:space="preserve"> </w:t>
      </w:r>
      <w:r w:rsidRPr="00291CFB">
        <w:rPr>
          <w:rFonts w:ascii="Cambria" w:hAnsi="Cambria"/>
        </w:rPr>
        <w:t>Introducing benchmark wholesale rates can therefore enhance transparency, consistency and predictability in national roaming pricing.</w:t>
      </w:r>
    </w:p>
    <w:p w14:paraId="498B80A2" w14:textId="77777777" w:rsidR="00291CFB" w:rsidRPr="00291CFB" w:rsidRDefault="00291CFB" w:rsidP="00291CFB">
      <w:pPr>
        <w:pStyle w:val="NoSpacing"/>
        <w:rPr>
          <w:rFonts w:ascii="Cambria" w:hAnsi="Cambria"/>
        </w:rPr>
      </w:pPr>
    </w:p>
    <w:p w14:paraId="7659E039" w14:textId="5E686FA4" w:rsidR="005B31DC" w:rsidRPr="00306778" w:rsidRDefault="00945C37" w:rsidP="002866FA">
      <w:pPr>
        <w:pStyle w:val="Heading2"/>
        <w:numPr>
          <w:ilvl w:val="0"/>
          <w:numId w:val="2"/>
        </w:numPr>
        <w:spacing w:line="360" w:lineRule="auto"/>
        <w:ind w:left="426" w:hanging="426"/>
        <w:rPr>
          <w:rFonts w:ascii="Cambria" w:hAnsi="Cambria" w:cs="Cambria"/>
          <w:sz w:val="24"/>
          <w:szCs w:val="24"/>
        </w:rPr>
      </w:pPr>
      <w:bookmarkStart w:id="26" w:name="_Toc223979936"/>
      <w:r w:rsidRPr="00306778">
        <w:rPr>
          <w:rFonts w:ascii="Cambria" w:hAnsi="Cambria" w:cs="Cambria"/>
          <w:sz w:val="24"/>
          <w:szCs w:val="24"/>
        </w:rPr>
        <w:t>Margin Squeeze Risks</w:t>
      </w:r>
      <w:bookmarkEnd w:id="26"/>
      <w:r w:rsidRPr="00306778">
        <w:rPr>
          <w:rFonts w:ascii="Cambria" w:hAnsi="Cambria" w:cs="Cambria"/>
          <w:sz w:val="24"/>
          <w:szCs w:val="24"/>
        </w:rPr>
        <w:t xml:space="preserve"> </w:t>
      </w:r>
    </w:p>
    <w:p w14:paraId="555255B2" w14:textId="77777777" w:rsidR="00291CFB" w:rsidRPr="00291CFB" w:rsidRDefault="00291CFB" w:rsidP="00291CFB">
      <w:pPr>
        <w:pStyle w:val="NoSpacing"/>
        <w:rPr>
          <w:rFonts w:ascii="Cambria" w:hAnsi="Cambria"/>
        </w:rPr>
      </w:pPr>
      <w:r w:rsidRPr="00291CFB">
        <w:rPr>
          <w:rFonts w:ascii="Cambria" w:hAnsi="Cambria"/>
        </w:rPr>
        <w:t>Margin squeeze may arise where an operator providing wholesale access to competing operators also competes with those operators in the retail market.</w:t>
      </w:r>
    </w:p>
    <w:p w14:paraId="6C2B03E1" w14:textId="77777777" w:rsidR="00291CFB" w:rsidRDefault="00291CFB" w:rsidP="00291CFB">
      <w:pPr>
        <w:pStyle w:val="NoSpacing"/>
        <w:rPr>
          <w:rFonts w:ascii="Cambria" w:hAnsi="Cambria"/>
        </w:rPr>
      </w:pPr>
    </w:p>
    <w:p w14:paraId="52AE609C" w14:textId="7078FA66" w:rsidR="00291CFB" w:rsidRPr="00291CFB" w:rsidRDefault="00291CFB" w:rsidP="00291CFB">
      <w:pPr>
        <w:pStyle w:val="NoSpacing"/>
        <w:rPr>
          <w:rFonts w:ascii="Cambria" w:hAnsi="Cambria"/>
        </w:rPr>
      </w:pPr>
      <w:r w:rsidRPr="00291CFB">
        <w:rPr>
          <w:rFonts w:ascii="Cambria" w:hAnsi="Cambria"/>
        </w:rPr>
        <w:t>Margin squeeze may occur where:</w:t>
      </w:r>
    </w:p>
    <w:p w14:paraId="06BD1D70" w14:textId="77777777" w:rsidR="00291CFB" w:rsidRPr="00291CFB" w:rsidRDefault="00291CFB" w:rsidP="002866FA">
      <w:pPr>
        <w:pStyle w:val="NoSpacing"/>
        <w:numPr>
          <w:ilvl w:val="0"/>
          <w:numId w:val="13"/>
        </w:numPr>
        <w:rPr>
          <w:rFonts w:ascii="Cambria" w:hAnsi="Cambria"/>
        </w:rPr>
      </w:pPr>
      <w:r w:rsidRPr="00291CFB">
        <w:rPr>
          <w:rFonts w:ascii="Cambria" w:hAnsi="Cambria"/>
        </w:rPr>
        <w:t>wholesale access prices are set excessively high; and</w:t>
      </w:r>
    </w:p>
    <w:p w14:paraId="201F0038" w14:textId="77777777" w:rsidR="00291CFB" w:rsidRPr="00291CFB" w:rsidRDefault="00291CFB" w:rsidP="002866FA">
      <w:pPr>
        <w:pStyle w:val="NoSpacing"/>
        <w:numPr>
          <w:ilvl w:val="0"/>
          <w:numId w:val="13"/>
        </w:numPr>
        <w:rPr>
          <w:rFonts w:ascii="Cambria" w:hAnsi="Cambria"/>
        </w:rPr>
      </w:pPr>
      <w:r w:rsidRPr="00291CFB">
        <w:rPr>
          <w:rFonts w:ascii="Cambria" w:hAnsi="Cambria"/>
        </w:rPr>
        <w:t>the retail prices of the host operator remain relatively low.</w:t>
      </w:r>
    </w:p>
    <w:p w14:paraId="1000D775" w14:textId="77777777" w:rsidR="00291CFB" w:rsidRDefault="00291CFB" w:rsidP="00291CFB">
      <w:pPr>
        <w:pStyle w:val="NoSpacing"/>
        <w:rPr>
          <w:rFonts w:ascii="Cambria" w:hAnsi="Cambria"/>
        </w:rPr>
      </w:pPr>
    </w:p>
    <w:p w14:paraId="332E5011" w14:textId="0A288ECD" w:rsidR="00291CFB" w:rsidRDefault="00291CFB" w:rsidP="00291CFB">
      <w:pPr>
        <w:pStyle w:val="NoSpacing"/>
        <w:rPr>
          <w:rFonts w:ascii="Cambria" w:hAnsi="Cambria"/>
        </w:rPr>
      </w:pPr>
      <w:r w:rsidRPr="00291CFB">
        <w:rPr>
          <w:rFonts w:ascii="Cambria" w:hAnsi="Cambria"/>
        </w:rPr>
        <w:t>Such conditions may limit the ability of operators relying on national roaming arrangements to compete effectively in the retail market.</w:t>
      </w:r>
      <w:r>
        <w:rPr>
          <w:rFonts w:ascii="Cambria" w:hAnsi="Cambria"/>
        </w:rPr>
        <w:t xml:space="preserve"> </w:t>
      </w:r>
      <w:r w:rsidRPr="00291CFB">
        <w:rPr>
          <w:rFonts w:ascii="Cambria" w:hAnsi="Cambria"/>
        </w:rPr>
        <w:t>The Authority will therefore monitor the relationship between wholesale roaming charges and retail tariffs to ensure that wholesale pricing does not distort competition.</w:t>
      </w:r>
    </w:p>
    <w:p w14:paraId="5EB36E84" w14:textId="77777777" w:rsidR="006A28B5" w:rsidRDefault="006A28B5" w:rsidP="00291CFB">
      <w:pPr>
        <w:pStyle w:val="NoSpacing"/>
        <w:rPr>
          <w:rFonts w:ascii="Cambria" w:hAnsi="Cambria"/>
        </w:rPr>
      </w:pPr>
    </w:p>
    <w:p w14:paraId="336D73A2" w14:textId="3789FC2E" w:rsidR="006A28B5" w:rsidRPr="00291CFB" w:rsidRDefault="006A28B5" w:rsidP="00291CFB">
      <w:pPr>
        <w:pStyle w:val="NoSpacing"/>
        <w:rPr>
          <w:rFonts w:ascii="Cambria" w:hAnsi="Cambria"/>
        </w:rPr>
      </w:pPr>
      <w:r w:rsidRPr="006A28B5">
        <w:rPr>
          <w:rFonts w:ascii="Cambria" w:hAnsi="Cambria"/>
        </w:rPr>
        <w:t>The Authority will therefore monitor the relationship between wholesale roaming charges and prevailing retail tariffs to ensure that national roaming arrangements support fair and sustainable competition.</w:t>
      </w:r>
    </w:p>
    <w:p w14:paraId="5B7E4261" w14:textId="77777777" w:rsidR="005B31DC" w:rsidRDefault="00945C37">
      <w:pPr>
        <w:spacing w:after="160" w:line="259" w:lineRule="auto"/>
        <w:jc w:val="both"/>
        <w:rPr>
          <w:rFonts w:ascii="Cambria" w:hAnsi="Cambria" w:cs="Cambria"/>
        </w:rPr>
      </w:pPr>
      <w:r>
        <w:rPr>
          <w:rFonts w:ascii="Cambria" w:hAnsi="Cambria" w:cs="Cambria"/>
        </w:rPr>
        <w:br w:type="page"/>
      </w:r>
    </w:p>
    <w:p w14:paraId="15C56300" w14:textId="77777777" w:rsidR="005B31DC" w:rsidRPr="00291CFB" w:rsidRDefault="00945C37">
      <w:pPr>
        <w:pStyle w:val="Heading1"/>
        <w:jc w:val="center"/>
        <w:rPr>
          <w:rFonts w:ascii="Cambria" w:hAnsi="Cambria" w:cs="Cambria"/>
          <w:sz w:val="28"/>
          <w:szCs w:val="28"/>
        </w:rPr>
      </w:pPr>
      <w:bookmarkStart w:id="27" w:name="_Toc219283090"/>
      <w:bookmarkStart w:id="28" w:name="_Toc13676"/>
      <w:bookmarkStart w:id="29" w:name="_Toc223979937"/>
      <w:r w:rsidRPr="00291CFB">
        <w:rPr>
          <w:rFonts w:ascii="Cambria" w:hAnsi="Cambria" w:cs="Cambria"/>
          <w:sz w:val="28"/>
          <w:szCs w:val="28"/>
        </w:rPr>
        <w:lastRenderedPageBreak/>
        <w:t>CHAPTER 3</w:t>
      </w:r>
      <w:bookmarkEnd w:id="27"/>
      <w:bookmarkEnd w:id="28"/>
      <w:bookmarkEnd w:id="29"/>
    </w:p>
    <w:p w14:paraId="5073AFB8" w14:textId="522CF669" w:rsidR="005B31DC" w:rsidRPr="00291CFB" w:rsidRDefault="001E5AD9" w:rsidP="00306778">
      <w:pPr>
        <w:pStyle w:val="Heading1"/>
        <w:numPr>
          <w:ilvl w:val="0"/>
          <w:numId w:val="1"/>
        </w:numPr>
        <w:rPr>
          <w:rFonts w:ascii="Cambria" w:hAnsi="Cambria" w:cs="Cambria"/>
          <w:sz w:val="28"/>
          <w:szCs w:val="28"/>
        </w:rPr>
      </w:pPr>
      <w:bookmarkStart w:id="30" w:name="_Toc223979938"/>
      <w:r w:rsidRPr="00291CFB">
        <w:rPr>
          <w:rFonts w:ascii="Cambria" w:hAnsi="Cambria" w:cs="Cambria"/>
          <w:sz w:val="28"/>
          <w:szCs w:val="28"/>
        </w:rPr>
        <w:t xml:space="preserve">FRAMEWORK FOR REGULATING </w:t>
      </w:r>
      <w:r w:rsidR="00945C37" w:rsidRPr="00291CFB">
        <w:rPr>
          <w:rFonts w:ascii="Cambria" w:hAnsi="Cambria" w:cs="Cambria"/>
          <w:sz w:val="28"/>
          <w:szCs w:val="28"/>
        </w:rPr>
        <w:t>NATIONAL ROAMING WHOLESALE RATE</w:t>
      </w:r>
      <w:r w:rsidR="00291CFB">
        <w:rPr>
          <w:rFonts w:ascii="Cambria" w:hAnsi="Cambria" w:cs="Cambria"/>
          <w:sz w:val="28"/>
          <w:szCs w:val="28"/>
        </w:rPr>
        <w:t>S</w:t>
      </w:r>
      <w:bookmarkEnd w:id="30"/>
      <w:r w:rsidR="00945C37" w:rsidRPr="00291CFB">
        <w:rPr>
          <w:rFonts w:ascii="Cambria" w:hAnsi="Cambria" w:cs="Cambria"/>
          <w:sz w:val="28"/>
          <w:szCs w:val="28"/>
        </w:rPr>
        <w:t xml:space="preserve"> </w:t>
      </w:r>
    </w:p>
    <w:p w14:paraId="012912F2" w14:textId="77777777" w:rsidR="005B31DC" w:rsidRDefault="005B31DC">
      <w:pPr>
        <w:rPr>
          <w:rFonts w:ascii="Cambria" w:hAnsi="Cambria" w:cs="Cambria"/>
        </w:rPr>
      </w:pPr>
    </w:p>
    <w:p w14:paraId="1FC86D03" w14:textId="298E7D03" w:rsidR="005B31DC" w:rsidRPr="00D95D19" w:rsidRDefault="00291CFB" w:rsidP="002866FA">
      <w:pPr>
        <w:pStyle w:val="Heading2"/>
        <w:numPr>
          <w:ilvl w:val="0"/>
          <w:numId w:val="3"/>
        </w:numPr>
        <w:spacing w:line="360" w:lineRule="auto"/>
        <w:ind w:left="567" w:hanging="567"/>
        <w:rPr>
          <w:rFonts w:ascii="Cambria" w:hAnsi="Cambria" w:cs="Cambria"/>
          <w:sz w:val="24"/>
          <w:szCs w:val="24"/>
        </w:rPr>
      </w:pPr>
      <w:bookmarkStart w:id="31" w:name="_Toc223979939"/>
      <w:r w:rsidRPr="00291CFB">
        <w:rPr>
          <w:rFonts w:ascii="Cambria" w:hAnsi="Cambria"/>
          <w:sz w:val="24"/>
          <w:szCs w:val="24"/>
        </w:rPr>
        <w:t>Methodology for Determining Wholesale Rates</w:t>
      </w:r>
      <w:bookmarkEnd w:id="31"/>
    </w:p>
    <w:p w14:paraId="267E19FC" w14:textId="15881273" w:rsidR="00291CFB" w:rsidRPr="00291CFB" w:rsidRDefault="00291CFB" w:rsidP="00291CFB">
      <w:pPr>
        <w:pStyle w:val="NoSpacing"/>
        <w:rPr>
          <w:rFonts w:ascii="Cambria" w:hAnsi="Cambria"/>
        </w:rPr>
      </w:pPr>
      <w:r w:rsidRPr="00291CFB">
        <w:rPr>
          <w:rFonts w:ascii="Cambria" w:hAnsi="Cambria"/>
        </w:rPr>
        <w:t>The Authority applied a benchmark-based analytical approach to determine the proposed national roaming wholesale rates.</w:t>
      </w:r>
      <w:r w:rsidR="00BF39C0">
        <w:rPr>
          <w:rFonts w:ascii="Cambria" w:hAnsi="Cambria"/>
        </w:rPr>
        <w:t xml:space="preserve"> </w:t>
      </w:r>
      <w:r w:rsidRPr="00291CFB">
        <w:rPr>
          <w:rFonts w:ascii="Cambria" w:hAnsi="Cambria"/>
        </w:rPr>
        <w:t>The methodology involved:</w:t>
      </w:r>
    </w:p>
    <w:p w14:paraId="35229B29" w14:textId="77777777" w:rsidR="00BF39C0" w:rsidRDefault="00BF39C0" w:rsidP="00291CFB">
      <w:pPr>
        <w:pStyle w:val="NoSpacing"/>
        <w:rPr>
          <w:rFonts w:ascii="Cambria" w:hAnsi="Cambria"/>
        </w:rPr>
      </w:pPr>
    </w:p>
    <w:p w14:paraId="4EB7983C" w14:textId="20389115" w:rsidR="00291CFB" w:rsidRPr="00BF39C0" w:rsidRDefault="00291CFB" w:rsidP="00291CFB">
      <w:pPr>
        <w:pStyle w:val="NoSpacing"/>
        <w:rPr>
          <w:rFonts w:ascii="Cambria" w:hAnsi="Cambria"/>
          <w:b/>
          <w:bCs/>
        </w:rPr>
      </w:pPr>
      <w:r w:rsidRPr="00BF39C0">
        <w:rPr>
          <w:rFonts w:ascii="Cambria" w:hAnsi="Cambria"/>
          <w:b/>
          <w:bCs/>
        </w:rPr>
        <w:t>Review of Retail Tariffs of the SMP Operator</w:t>
      </w:r>
    </w:p>
    <w:p w14:paraId="74581EC5" w14:textId="77777777" w:rsidR="00291CFB" w:rsidRPr="00291CFB" w:rsidRDefault="00291CFB" w:rsidP="00291CFB">
      <w:pPr>
        <w:pStyle w:val="NoSpacing"/>
        <w:rPr>
          <w:rFonts w:ascii="Cambria" w:hAnsi="Cambria"/>
        </w:rPr>
      </w:pPr>
      <w:r w:rsidRPr="00291CFB">
        <w:rPr>
          <w:rFonts w:ascii="Cambria" w:hAnsi="Cambria"/>
        </w:rPr>
        <w:t>The Authority analysed prevailing retail tariffs of the SMP operator for core services including voice, SMS, data and USSD.</w:t>
      </w:r>
    </w:p>
    <w:p w14:paraId="2B61025A" w14:textId="77777777" w:rsidR="00BF39C0" w:rsidRDefault="00BF39C0" w:rsidP="00291CFB">
      <w:pPr>
        <w:pStyle w:val="NoSpacing"/>
        <w:rPr>
          <w:rFonts w:ascii="Cambria" w:hAnsi="Cambria"/>
        </w:rPr>
      </w:pPr>
    </w:p>
    <w:p w14:paraId="73A157C3" w14:textId="0BA74725" w:rsidR="00291CFB" w:rsidRPr="00291CFB" w:rsidRDefault="00291CFB" w:rsidP="00291CFB">
      <w:pPr>
        <w:pStyle w:val="NoSpacing"/>
        <w:rPr>
          <w:rFonts w:ascii="Cambria" w:hAnsi="Cambria"/>
        </w:rPr>
      </w:pPr>
      <w:r w:rsidRPr="00291CFB">
        <w:rPr>
          <w:rFonts w:ascii="Cambria" w:hAnsi="Cambria"/>
        </w:rPr>
        <w:t>Retail tariffs provide a useful reference point when assessing wholesale prices to ensure that wholesale charges do not undermine competition in the retail market.</w:t>
      </w:r>
    </w:p>
    <w:p w14:paraId="04E50E6F" w14:textId="77777777" w:rsidR="00BF39C0" w:rsidRDefault="00BF39C0" w:rsidP="00291CFB">
      <w:pPr>
        <w:pStyle w:val="NoSpacing"/>
        <w:rPr>
          <w:rFonts w:ascii="Cambria" w:hAnsi="Cambria"/>
        </w:rPr>
      </w:pPr>
    </w:p>
    <w:p w14:paraId="0FB0B8C6" w14:textId="43A3FB1B" w:rsidR="00291CFB" w:rsidRPr="00BF39C0" w:rsidRDefault="00291CFB" w:rsidP="00291CFB">
      <w:pPr>
        <w:pStyle w:val="NoSpacing"/>
        <w:rPr>
          <w:rFonts w:ascii="Cambria" w:hAnsi="Cambria"/>
          <w:b/>
          <w:bCs/>
        </w:rPr>
      </w:pPr>
      <w:r w:rsidRPr="00BF39C0">
        <w:rPr>
          <w:rFonts w:ascii="Cambria" w:hAnsi="Cambria"/>
          <w:b/>
          <w:bCs/>
        </w:rPr>
        <w:t>Review of Existing Bilateral Roaming Agreements</w:t>
      </w:r>
    </w:p>
    <w:p w14:paraId="09AD2AD2" w14:textId="77777777" w:rsidR="00291CFB" w:rsidRPr="00291CFB" w:rsidRDefault="00291CFB" w:rsidP="00291CFB">
      <w:pPr>
        <w:pStyle w:val="NoSpacing"/>
        <w:rPr>
          <w:rFonts w:ascii="Cambria" w:hAnsi="Cambria"/>
        </w:rPr>
      </w:pPr>
      <w:r w:rsidRPr="00291CFB">
        <w:rPr>
          <w:rFonts w:ascii="Cambria" w:hAnsi="Cambria"/>
        </w:rPr>
        <w:t>Wholesale roaming rates currently applied in bilateral agreements between mobile network operators were also reviewed to understand prevailing market pricing structures.</w:t>
      </w:r>
    </w:p>
    <w:p w14:paraId="32F5FC49" w14:textId="77777777" w:rsidR="00BF39C0" w:rsidRDefault="00BF39C0" w:rsidP="00291CFB">
      <w:pPr>
        <w:pStyle w:val="NoSpacing"/>
        <w:rPr>
          <w:rFonts w:ascii="Cambria" w:hAnsi="Cambria"/>
        </w:rPr>
      </w:pPr>
    </w:p>
    <w:p w14:paraId="5350782E" w14:textId="626760B5" w:rsidR="00291CFB" w:rsidRPr="00BF39C0" w:rsidRDefault="00291CFB" w:rsidP="00291CFB">
      <w:pPr>
        <w:pStyle w:val="NoSpacing"/>
        <w:rPr>
          <w:rFonts w:ascii="Cambria" w:hAnsi="Cambria"/>
          <w:b/>
          <w:bCs/>
        </w:rPr>
      </w:pPr>
      <w:r w:rsidRPr="00BF39C0">
        <w:rPr>
          <w:rFonts w:ascii="Cambria" w:hAnsi="Cambria"/>
          <w:b/>
          <w:bCs/>
        </w:rPr>
        <w:t>Assessment of Retail–Wholesale Price Relationships</w:t>
      </w:r>
    </w:p>
    <w:p w14:paraId="511F57E6" w14:textId="77777777" w:rsidR="00291CFB" w:rsidRPr="00291CFB" w:rsidRDefault="00291CFB" w:rsidP="00291CFB">
      <w:pPr>
        <w:pStyle w:val="NoSpacing"/>
        <w:rPr>
          <w:rFonts w:ascii="Cambria" w:hAnsi="Cambria"/>
        </w:rPr>
      </w:pPr>
      <w:r w:rsidRPr="00291CFB">
        <w:rPr>
          <w:rFonts w:ascii="Cambria" w:hAnsi="Cambria"/>
        </w:rPr>
        <w:t>The Authority assessed the relationship between retail tariffs and wholesale roaming charges to ensure that wholesale prices remain sufficiently below retail tariffs.</w:t>
      </w:r>
    </w:p>
    <w:p w14:paraId="1C432099" w14:textId="77777777" w:rsidR="00BF39C0" w:rsidRDefault="00BF39C0" w:rsidP="00291CFB">
      <w:pPr>
        <w:pStyle w:val="NoSpacing"/>
        <w:rPr>
          <w:rFonts w:ascii="Cambria" w:hAnsi="Cambria"/>
        </w:rPr>
      </w:pPr>
    </w:p>
    <w:p w14:paraId="3A7BEE91" w14:textId="21DC5204" w:rsidR="00291CFB" w:rsidRPr="00291CFB" w:rsidRDefault="00291CFB" w:rsidP="00291CFB">
      <w:pPr>
        <w:pStyle w:val="NoSpacing"/>
        <w:rPr>
          <w:rFonts w:ascii="Cambria" w:hAnsi="Cambria"/>
        </w:rPr>
      </w:pPr>
      <w:r w:rsidRPr="00291CFB">
        <w:rPr>
          <w:rFonts w:ascii="Cambria" w:hAnsi="Cambria"/>
        </w:rPr>
        <w:t>This assessment was undertaken to prevent conditions that could give rise to margin squeeze.</w:t>
      </w:r>
    </w:p>
    <w:p w14:paraId="617C9FA3" w14:textId="77777777" w:rsidR="00BF39C0" w:rsidRDefault="00BF39C0" w:rsidP="00291CFB">
      <w:pPr>
        <w:pStyle w:val="NoSpacing"/>
        <w:rPr>
          <w:rFonts w:ascii="Cambria" w:hAnsi="Cambria"/>
        </w:rPr>
      </w:pPr>
    </w:p>
    <w:p w14:paraId="3F7C0C9D" w14:textId="56464973" w:rsidR="00291CFB" w:rsidRPr="00BF39C0" w:rsidRDefault="00291CFB" w:rsidP="00291CFB">
      <w:pPr>
        <w:pStyle w:val="NoSpacing"/>
        <w:rPr>
          <w:rFonts w:ascii="Cambria" w:hAnsi="Cambria"/>
          <w:b/>
          <w:bCs/>
        </w:rPr>
      </w:pPr>
      <w:r w:rsidRPr="00BF39C0">
        <w:rPr>
          <w:rFonts w:ascii="Cambria" w:hAnsi="Cambria"/>
          <w:b/>
          <w:bCs/>
        </w:rPr>
        <w:t>Determination of Benchmark Wholesale Rates</w:t>
      </w:r>
    </w:p>
    <w:p w14:paraId="14FCB802" w14:textId="77777777" w:rsidR="00291CFB" w:rsidRPr="00291CFB" w:rsidRDefault="00291CFB" w:rsidP="00291CFB">
      <w:pPr>
        <w:pStyle w:val="NoSpacing"/>
        <w:rPr>
          <w:rFonts w:ascii="Cambria" w:hAnsi="Cambria"/>
        </w:rPr>
      </w:pPr>
      <w:r w:rsidRPr="00291CFB">
        <w:rPr>
          <w:rFonts w:ascii="Cambria" w:hAnsi="Cambria"/>
        </w:rPr>
        <w:t>Based on the above analysis, the Authority derived benchmark wholesale rates that:</w:t>
      </w:r>
    </w:p>
    <w:p w14:paraId="3E2BD774" w14:textId="77777777" w:rsidR="00291CFB" w:rsidRPr="00291CFB" w:rsidRDefault="00291CFB" w:rsidP="002866FA">
      <w:pPr>
        <w:pStyle w:val="NoSpacing"/>
        <w:numPr>
          <w:ilvl w:val="0"/>
          <w:numId w:val="14"/>
        </w:numPr>
        <w:rPr>
          <w:rFonts w:ascii="Cambria" w:hAnsi="Cambria"/>
        </w:rPr>
      </w:pPr>
      <w:r w:rsidRPr="00291CFB">
        <w:rPr>
          <w:rFonts w:ascii="Cambria" w:hAnsi="Cambria"/>
        </w:rPr>
        <w:t>remain below prevailing retail tariffs</w:t>
      </w:r>
    </w:p>
    <w:p w14:paraId="32F555DB" w14:textId="77777777" w:rsidR="00291CFB" w:rsidRPr="00291CFB" w:rsidRDefault="00291CFB" w:rsidP="002866FA">
      <w:pPr>
        <w:pStyle w:val="NoSpacing"/>
        <w:numPr>
          <w:ilvl w:val="0"/>
          <w:numId w:val="14"/>
        </w:numPr>
        <w:rPr>
          <w:rFonts w:ascii="Cambria" w:hAnsi="Cambria"/>
        </w:rPr>
      </w:pPr>
      <w:r w:rsidRPr="00291CFB">
        <w:rPr>
          <w:rFonts w:ascii="Cambria" w:hAnsi="Cambria"/>
        </w:rPr>
        <w:t>reflect pricing observed in existing bilateral agreements</w:t>
      </w:r>
    </w:p>
    <w:p w14:paraId="2590DF3E" w14:textId="08EB8ECD" w:rsidR="00067E67" w:rsidRDefault="00291CFB" w:rsidP="002866FA">
      <w:pPr>
        <w:pStyle w:val="NoSpacing"/>
        <w:numPr>
          <w:ilvl w:val="0"/>
          <w:numId w:val="14"/>
        </w:numPr>
        <w:rPr>
          <w:rFonts w:ascii="Cambria" w:hAnsi="Cambria"/>
        </w:rPr>
      </w:pPr>
      <w:r w:rsidRPr="00291CFB">
        <w:rPr>
          <w:rFonts w:ascii="Cambria" w:hAnsi="Cambria"/>
        </w:rPr>
        <w:t>support sustainable retail competition.</w:t>
      </w:r>
    </w:p>
    <w:p w14:paraId="2D204F9B" w14:textId="77777777" w:rsidR="00BF39C0" w:rsidRPr="00291CFB" w:rsidRDefault="00BF39C0" w:rsidP="00291CFB">
      <w:pPr>
        <w:pStyle w:val="NoSpacing"/>
        <w:rPr>
          <w:rFonts w:ascii="Cambria" w:hAnsi="Cambria"/>
        </w:rPr>
      </w:pPr>
    </w:p>
    <w:p w14:paraId="41D104AC" w14:textId="68A88DA9" w:rsidR="00067E67" w:rsidRPr="00306778" w:rsidRDefault="00067E67" w:rsidP="002866FA">
      <w:pPr>
        <w:pStyle w:val="Heading2"/>
        <w:numPr>
          <w:ilvl w:val="0"/>
          <w:numId w:val="3"/>
        </w:numPr>
        <w:spacing w:line="360" w:lineRule="auto"/>
        <w:ind w:left="567" w:hanging="567"/>
        <w:rPr>
          <w:rFonts w:ascii="Cambria" w:hAnsi="Cambria"/>
          <w:sz w:val="24"/>
          <w:szCs w:val="24"/>
        </w:rPr>
      </w:pPr>
      <w:r w:rsidRPr="00306778">
        <w:rPr>
          <w:rFonts w:ascii="Cambria" w:hAnsi="Cambria"/>
          <w:sz w:val="24"/>
          <w:szCs w:val="24"/>
        </w:rPr>
        <w:t xml:space="preserve"> </w:t>
      </w:r>
      <w:bookmarkStart w:id="32" w:name="_Toc223979940"/>
      <w:r w:rsidRPr="00306778">
        <w:rPr>
          <w:rFonts w:ascii="Cambria" w:hAnsi="Cambria"/>
          <w:sz w:val="24"/>
          <w:szCs w:val="24"/>
        </w:rPr>
        <w:t>International Benchmarking of National Roaming Charges</w:t>
      </w:r>
      <w:bookmarkEnd w:id="32"/>
    </w:p>
    <w:p w14:paraId="2A5451AA" w14:textId="77777777" w:rsidR="00BF39C0" w:rsidRPr="00BF39C0" w:rsidRDefault="00BF39C0" w:rsidP="00BF39C0">
      <w:pPr>
        <w:pStyle w:val="NoSpacing"/>
        <w:rPr>
          <w:rFonts w:ascii="Cambria" w:hAnsi="Cambria"/>
        </w:rPr>
      </w:pPr>
      <w:r w:rsidRPr="00BF39C0">
        <w:rPr>
          <w:rFonts w:ascii="Cambria" w:hAnsi="Cambria"/>
        </w:rPr>
        <w:t>The Authority also reviewed regulatory approaches to national roaming in selected jurisdictions, including:</w:t>
      </w:r>
    </w:p>
    <w:p w14:paraId="7FCDB3DB" w14:textId="77777777" w:rsidR="00BF39C0" w:rsidRPr="00BF39C0" w:rsidRDefault="00BF39C0" w:rsidP="002866FA">
      <w:pPr>
        <w:pStyle w:val="NoSpacing"/>
        <w:numPr>
          <w:ilvl w:val="0"/>
          <w:numId w:val="15"/>
        </w:numPr>
        <w:rPr>
          <w:rFonts w:ascii="Cambria" w:hAnsi="Cambria"/>
        </w:rPr>
      </w:pPr>
      <w:r w:rsidRPr="00BF39C0">
        <w:rPr>
          <w:rFonts w:ascii="Cambria" w:hAnsi="Cambria"/>
        </w:rPr>
        <w:t>United Kingdom</w:t>
      </w:r>
    </w:p>
    <w:p w14:paraId="1179D53E" w14:textId="77777777" w:rsidR="00BF39C0" w:rsidRPr="00BF39C0" w:rsidRDefault="00BF39C0" w:rsidP="002866FA">
      <w:pPr>
        <w:pStyle w:val="NoSpacing"/>
        <w:numPr>
          <w:ilvl w:val="0"/>
          <w:numId w:val="15"/>
        </w:numPr>
        <w:rPr>
          <w:rFonts w:ascii="Cambria" w:hAnsi="Cambria"/>
        </w:rPr>
      </w:pPr>
      <w:r w:rsidRPr="00BF39C0">
        <w:rPr>
          <w:rFonts w:ascii="Cambria" w:hAnsi="Cambria"/>
        </w:rPr>
        <w:t>India</w:t>
      </w:r>
    </w:p>
    <w:p w14:paraId="09F66898" w14:textId="77777777" w:rsidR="00BF39C0" w:rsidRPr="00BF39C0" w:rsidRDefault="00BF39C0" w:rsidP="002866FA">
      <w:pPr>
        <w:pStyle w:val="NoSpacing"/>
        <w:numPr>
          <w:ilvl w:val="0"/>
          <w:numId w:val="15"/>
        </w:numPr>
        <w:rPr>
          <w:rFonts w:ascii="Cambria" w:hAnsi="Cambria"/>
        </w:rPr>
      </w:pPr>
      <w:r w:rsidRPr="00BF39C0">
        <w:rPr>
          <w:rFonts w:ascii="Cambria" w:hAnsi="Cambria"/>
        </w:rPr>
        <w:t>Kenya</w:t>
      </w:r>
    </w:p>
    <w:p w14:paraId="4D17441E" w14:textId="77777777" w:rsidR="00BF39C0" w:rsidRPr="00BF39C0" w:rsidRDefault="00BF39C0" w:rsidP="002866FA">
      <w:pPr>
        <w:pStyle w:val="NoSpacing"/>
        <w:numPr>
          <w:ilvl w:val="0"/>
          <w:numId w:val="15"/>
        </w:numPr>
        <w:rPr>
          <w:rFonts w:ascii="Cambria" w:hAnsi="Cambria"/>
        </w:rPr>
      </w:pPr>
      <w:r w:rsidRPr="00BF39C0">
        <w:rPr>
          <w:rFonts w:ascii="Cambria" w:hAnsi="Cambria"/>
        </w:rPr>
        <w:t>Nigeria</w:t>
      </w:r>
    </w:p>
    <w:p w14:paraId="109D15E2" w14:textId="77777777" w:rsidR="00BF39C0" w:rsidRPr="00BF39C0" w:rsidRDefault="00BF39C0" w:rsidP="002866FA">
      <w:pPr>
        <w:pStyle w:val="NoSpacing"/>
        <w:numPr>
          <w:ilvl w:val="0"/>
          <w:numId w:val="15"/>
        </w:numPr>
        <w:rPr>
          <w:rFonts w:ascii="Cambria" w:hAnsi="Cambria"/>
        </w:rPr>
      </w:pPr>
      <w:r w:rsidRPr="00BF39C0">
        <w:rPr>
          <w:rFonts w:ascii="Cambria" w:hAnsi="Cambria"/>
        </w:rPr>
        <w:t>South Africa</w:t>
      </w:r>
    </w:p>
    <w:p w14:paraId="755D308D" w14:textId="77777777" w:rsidR="00BF39C0" w:rsidRPr="00BF39C0" w:rsidRDefault="00BF39C0" w:rsidP="002866FA">
      <w:pPr>
        <w:pStyle w:val="NoSpacing"/>
        <w:numPr>
          <w:ilvl w:val="0"/>
          <w:numId w:val="15"/>
        </w:numPr>
        <w:rPr>
          <w:rFonts w:ascii="Cambria" w:hAnsi="Cambria"/>
        </w:rPr>
      </w:pPr>
      <w:r w:rsidRPr="00BF39C0">
        <w:rPr>
          <w:rFonts w:ascii="Cambria" w:hAnsi="Cambria"/>
        </w:rPr>
        <w:t>the European Union.</w:t>
      </w:r>
    </w:p>
    <w:p w14:paraId="2C465072" w14:textId="77777777" w:rsidR="00BF39C0" w:rsidRDefault="00BF39C0" w:rsidP="00BF39C0">
      <w:pPr>
        <w:pStyle w:val="NoSpacing"/>
        <w:rPr>
          <w:rFonts w:ascii="Cambria" w:hAnsi="Cambria"/>
        </w:rPr>
      </w:pPr>
    </w:p>
    <w:p w14:paraId="131C8CEF" w14:textId="4D7C1534" w:rsidR="00BF39C0" w:rsidRPr="00BF39C0" w:rsidRDefault="00BF39C0" w:rsidP="00BF39C0">
      <w:pPr>
        <w:pStyle w:val="NoSpacing"/>
        <w:rPr>
          <w:rFonts w:ascii="Cambria" w:hAnsi="Cambria"/>
        </w:rPr>
      </w:pPr>
      <w:r w:rsidRPr="00BF39C0">
        <w:rPr>
          <w:rFonts w:ascii="Cambria" w:hAnsi="Cambria"/>
        </w:rPr>
        <w:t>In many of these jurisdictions, regulators have introduced mechanisms to ensure that wholesale access prices remain transparent and non-discriminatory.</w:t>
      </w:r>
    </w:p>
    <w:p w14:paraId="49575C1B" w14:textId="77777777" w:rsidR="00BF39C0" w:rsidRPr="00BF39C0" w:rsidRDefault="00BF39C0" w:rsidP="00BF39C0">
      <w:pPr>
        <w:pStyle w:val="NoSpacing"/>
        <w:rPr>
          <w:rFonts w:ascii="Cambria" w:hAnsi="Cambria"/>
        </w:rPr>
      </w:pPr>
      <w:r w:rsidRPr="00BF39C0">
        <w:rPr>
          <w:rFonts w:ascii="Cambria" w:hAnsi="Cambria"/>
        </w:rPr>
        <w:lastRenderedPageBreak/>
        <w:t>While regulatory approaches vary across jurisdictions, international experience demonstrates the importance of regulatory oversight in ensuring that wholesale roaming arrangements support competition and infrastructure efficiency.</w:t>
      </w:r>
    </w:p>
    <w:p w14:paraId="6DCA2BFB" w14:textId="77777777" w:rsidR="00BF39C0" w:rsidRDefault="00BF39C0" w:rsidP="00BF39C0">
      <w:pPr>
        <w:pStyle w:val="NoSpacing"/>
        <w:jc w:val="center"/>
        <w:rPr>
          <w:rFonts w:ascii="Cambria" w:hAnsi="Cambria"/>
          <w:i/>
          <w:iCs/>
        </w:rPr>
      </w:pPr>
    </w:p>
    <w:p w14:paraId="11D8D4D8" w14:textId="0A4D8906" w:rsidR="0077355D" w:rsidRPr="00BF39C0" w:rsidRDefault="00BF39C0" w:rsidP="00BF39C0">
      <w:pPr>
        <w:pStyle w:val="NoSpacing"/>
        <w:jc w:val="center"/>
        <w:rPr>
          <w:rFonts w:ascii="Cambria" w:hAnsi="Cambria"/>
          <w:i/>
          <w:iCs/>
        </w:rPr>
      </w:pPr>
      <w:r w:rsidRPr="00BF39C0">
        <w:rPr>
          <w:rFonts w:ascii="Cambria" w:hAnsi="Cambria"/>
          <w:i/>
          <w:iCs/>
        </w:rPr>
        <w:t xml:space="preserve">Table </w:t>
      </w:r>
      <w:r w:rsidRPr="00BF39C0">
        <w:rPr>
          <w:rFonts w:ascii="Cambria" w:hAnsi="Cambria"/>
          <w:i/>
          <w:iCs/>
        </w:rPr>
        <w:fldChar w:fldCharType="begin"/>
      </w:r>
      <w:r w:rsidRPr="00BF39C0">
        <w:rPr>
          <w:rFonts w:ascii="Cambria" w:hAnsi="Cambria"/>
          <w:i/>
          <w:iCs/>
        </w:rPr>
        <w:instrText xml:space="preserve"> SEQ Table \* ARABIC </w:instrText>
      </w:r>
      <w:r w:rsidRPr="00BF39C0">
        <w:rPr>
          <w:rFonts w:ascii="Cambria" w:hAnsi="Cambria"/>
          <w:i/>
          <w:iCs/>
        </w:rPr>
        <w:fldChar w:fldCharType="separate"/>
      </w:r>
      <w:r w:rsidR="00EB3DE7">
        <w:rPr>
          <w:rFonts w:ascii="Cambria" w:hAnsi="Cambria"/>
          <w:i/>
          <w:iCs/>
          <w:noProof/>
        </w:rPr>
        <w:t>2</w:t>
      </w:r>
      <w:r w:rsidRPr="00BF39C0">
        <w:rPr>
          <w:rFonts w:ascii="Cambria" w:hAnsi="Cambria"/>
          <w:i/>
          <w:iCs/>
        </w:rPr>
        <w:fldChar w:fldCharType="end"/>
      </w:r>
      <w:r w:rsidR="0077355D" w:rsidRPr="00BF39C0">
        <w:rPr>
          <w:rFonts w:ascii="Cambria" w:hAnsi="Cambria"/>
          <w:i/>
          <w:iCs/>
        </w:rPr>
        <w:t>: Some Regulatory Roaming Frameworks</w:t>
      </w:r>
    </w:p>
    <w:tbl>
      <w:tblPr>
        <w:tblStyle w:val="TableGrid"/>
        <w:tblW w:w="0" w:type="auto"/>
        <w:tblLook w:val="04A0" w:firstRow="1" w:lastRow="0" w:firstColumn="1" w:lastColumn="0" w:noHBand="0" w:noVBand="1"/>
      </w:tblPr>
      <w:tblGrid>
        <w:gridCol w:w="1696"/>
        <w:gridCol w:w="3797"/>
        <w:gridCol w:w="3523"/>
      </w:tblGrid>
      <w:tr w:rsidR="0077355D" w:rsidRPr="00BF39C0" w14:paraId="75D227A1" w14:textId="77777777" w:rsidTr="00BF39C0">
        <w:tc>
          <w:tcPr>
            <w:tcW w:w="0" w:type="auto"/>
            <w:hideMark/>
          </w:tcPr>
          <w:p w14:paraId="466A2707" w14:textId="5B30AA73" w:rsidR="0077355D" w:rsidRPr="00BF39C0" w:rsidRDefault="00BF39C0" w:rsidP="00BF39C0">
            <w:pPr>
              <w:pStyle w:val="NoSpacing"/>
              <w:tabs>
                <w:tab w:val="center" w:pos="697"/>
              </w:tabs>
              <w:jc w:val="left"/>
              <w:rPr>
                <w:rFonts w:ascii="Cambria" w:hAnsi="Cambria"/>
                <w:b/>
                <w:bCs/>
              </w:rPr>
            </w:pPr>
            <w:r w:rsidRPr="00BF39C0">
              <w:rPr>
                <w:rFonts w:ascii="Cambria" w:hAnsi="Cambria"/>
                <w:b/>
                <w:bCs/>
              </w:rPr>
              <w:tab/>
            </w:r>
            <w:r w:rsidR="0077355D" w:rsidRPr="00BF39C0">
              <w:rPr>
                <w:rFonts w:ascii="Cambria" w:hAnsi="Cambria"/>
                <w:b/>
                <w:bCs/>
              </w:rPr>
              <w:t>Jurisdiction</w:t>
            </w:r>
          </w:p>
        </w:tc>
        <w:tc>
          <w:tcPr>
            <w:tcW w:w="0" w:type="auto"/>
            <w:hideMark/>
          </w:tcPr>
          <w:p w14:paraId="71681919" w14:textId="77777777" w:rsidR="0077355D" w:rsidRPr="00BF39C0" w:rsidRDefault="0077355D" w:rsidP="00BF39C0">
            <w:pPr>
              <w:pStyle w:val="NoSpacing"/>
              <w:jc w:val="center"/>
              <w:rPr>
                <w:rFonts w:ascii="Cambria" w:hAnsi="Cambria"/>
                <w:b/>
                <w:bCs/>
              </w:rPr>
            </w:pPr>
            <w:r w:rsidRPr="00BF39C0">
              <w:rPr>
                <w:rFonts w:ascii="Cambria" w:hAnsi="Cambria"/>
                <w:b/>
                <w:bCs/>
              </w:rPr>
              <w:t>Regulatory Authority</w:t>
            </w:r>
          </w:p>
        </w:tc>
        <w:tc>
          <w:tcPr>
            <w:tcW w:w="0" w:type="auto"/>
            <w:hideMark/>
          </w:tcPr>
          <w:p w14:paraId="4197C0F4" w14:textId="77777777" w:rsidR="0077355D" w:rsidRPr="00BF39C0" w:rsidRDefault="0077355D" w:rsidP="00BF39C0">
            <w:pPr>
              <w:pStyle w:val="NoSpacing"/>
              <w:jc w:val="center"/>
              <w:rPr>
                <w:rFonts w:ascii="Cambria" w:hAnsi="Cambria"/>
                <w:b/>
                <w:bCs/>
              </w:rPr>
            </w:pPr>
            <w:r w:rsidRPr="00BF39C0">
              <w:rPr>
                <w:rFonts w:ascii="Cambria" w:hAnsi="Cambria"/>
                <w:b/>
                <w:bCs/>
              </w:rPr>
              <w:t>Relevant Pricing Framework</w:t>
            </w:r>
          </w:p>
        </w:tc>
      </w:tr>
      <w:tr w:rsidR="0077355D" w:rsidRPr="00BF39C0" w14:paraId="79008217" w14:textId="77777777" w:rsidTr="00BF39C0">
        <w:tc>
          <w:tcPr>
            <w:tcW w:w="0" w:type="auto"/>
            <w:hideMark/>
          </w:tcPr>
          <w:p w14:paraId="1A474746" w14:textId="77777777" w:rsidR="0077355D" w:rsidRPr="00BF39C0" w:rsidRDefault="0077355D" w:rsidP="00BF39C0">
            <w:pPr>
              <w:pStyle w:val="NoSpacing"/>
              <w:jc w:val="center"/>
              <w:rPr>
                <w:rFonts w:ascii="Cambria" w:hAnsi="Cambria"/>
              </w:rPr>
            </w:pPr>
            <w:r w:rsidRPr="00BF39C0">
              <w:rPr>
                <w:rFonts w:ascii="Cambria" w:hAnsi="Cambria"/>
              </w:rPr>
              <w:t>United Kingdom</w:t>
            </w:r>
          </w:p>
        </w:tc>
        <w:tc>
          <w:tcPr>
            <w:tcW w:w="0" w:type="auto"/>
            <w:hideMark/>
          </w:tcPr>
          <w:p w14:paraId="3B85FE9A" w14:textId="77777777" w:rsidR="0077355D" w:rsidRPr="00BF39C0" w:rsidRDefault="0077355D" w:rsidP="00BF39C0">
            <w:pPr>
              <w:pStyle w:val="NoSpacing"/>
              <w:jc w:val="center"/>
              <w:rPr>
                <w:rFonts w:ascii="Cambria" w:hAnsi="Cambria"/>
              </w:rPr>
            </w:pPr>
            <w:r w:rsidRPr="00BF39C0">
              <w:rPr>
                <w:rFonts w:ascii="Cambria" w:hAnsi="Cambria"/>
              </w:rPr>
              <w:t>Ofcom</w:t>
            </w:r>
          </w:p>
        </w:tc>
        <w:tc>
          <w:tcPr>
            <w:tcW w:w="0" w:type="auto"/>
            <w:hideMark/>
          </w:tcPr>
          <w:p w14:paraId="1E85404D" w14:textId="77777777" w:rsidR="0077355D" w:rsidRPr="00BF39C0" w:rsidRDefault="0077355D" w:rsidP="00BF39C0">
            <w:pPr>
              <w:pStyle w:val="NoSpacing"/>
              <w:jc w:val="center"/>
              <w:rPr>
                <w:rFonts w:ascii="Cambria" w:hAnsi="Cambria"/>
              </w:rPr>
            </w:pPr>
            <w:r w:rsidRPr="00BF39C0">
              <w:rPr>
                <w:rFonts w:ascii="Cambria" w:hAnsi="Cambria"/>
              </w:rPr>
              <w:t>Regulated wholesale mobile access and interconnection</w:t>
            </w:r>
          </w:p>
        </w:tc>
      </w:tr>
      <w:tr w:rsidR="0077355D" w:rsidRPr="00BF39C0" w14:paraId="67082776" w14:textId="77777777" w:rsidTr="00BF39C0">
        <w:tc>
          <w:tcPr>
            <w:tcW w:w="0" w:type="auto"/>
            <w:hideMark/>
          </w:tcPr>
          <w:p w14:paraId="238BAE6F" w14:textId="77777777" w:rsidR="0077355D" w:rsidRPr="00BF39C0" w:rsidRDefault="0077355D" w:rsidP="00BF39C0">
            <w:pPr>
              <w:pStyle w:val="NoSpacing"/>
              <w:jc w:val="center"/>
              <w:rPr>
                <w:rFonts w:ascii="Cambria" w:hAnsi="Cambria"/>
              </w:rPr>
            </w:pPr>
            <w:r w:rsidRPr="00BF39C0">
              <w:rPr>
                <w:rFonts w:ascii="Cambria" w:hAnsi="Cambria"/>
              </w:rPr>
              <w:t>European Union</w:t>
            </w:r>
          </w:p>
        </w:tc>
        <w:tc>
          <w:tcPr>
            <w:tcW w:w="0" w:type="auto"/>
            <w:hideMark/>
          </w:tcPr>
          <w:p w14:paraId="40AF9863" w14:textId="77777777" w:rsidR="0077355D" w:rsidRPr="00BF39C0" w:rsidRDefault="0077355D" w:rsidP="00BF39C0">
            <w:pPr>
              <w:pStyle w:val="NoSpacing"/>
              <w:jc w:val="center"/>
              <w:rPr>
                <w:rFonts w:ascii="Cambria" w:hAnsi="Cambria"/>
              </w:rPr>
            </w:pPr>
            <w:r w:rsidRPr="00BF39C0">
              <w:rPr>
                <w:rFonts w:ascii="Cambria" w:hAnsi="Cambria"/>
              </w:rPr>
              <w:t>Body of European Regulators for Electronic Communications</w:t>
            </w:r>
          </w:p>
        </w:tc>
        <w:tc>
          <w:tcPr>
            <w:tcW w:w="0" w:type="auto"/>
            <w:hideMark/>
          </w:tcPr>
          <w:p w14:paraId="2B75F36B" w14:textId="77777777" w:rsidR="0077355D" w:rsidRPr="00BF39C0" w:rsidRDefault="0077355D" w:rsidP="00BF39C0">
            <w:pPr>
              <w:pStyle w:val="NoSpacing"/>
              <w:jc w:val="center"/>
              <w:rPr>
                <w:rFonts w:ascii="Cambria" w:hAnsi="Cambria"/>
              </w:rPr>
            </w:pPr>
            <w:r w:rsidRPr="00BF39C0">
              <w:rPr>
                <w:rFonts w:ascii="Cambria" w:hAnsi="Cambria"/>
              </w:rPr>
              <w:t>EU wholesale roaming price caps</w:t>
            </w:r>
          </w:p>
        </w:tc>
      </w:tr>
      <w:tr w:rsidR="0077355D" w:rsidRPr="00BF39C0" w14:paraId="61AD5937" w14:textId="77777777" w:rsidTr="00BF39C0">
        <w:tc>
          <w:tcPr>
            <w:tcW w:w="0" w:type="auto"/>
            <w:hideMark/>
          </w:tcPr>
          <w:p w14:paraId="3EDEC0AB" w14:textId="77777777" w:rsidR="0077355D" w:rsidRPr="00BF39C0" w:rsidRDefault="0077355D" w:rsidP="00BF39C0">
            <w:pPr>
              <w:pStyle w:val="NoSpacing"/>
              <w:jc w:val="center"/>
              <w:rPr>
                <w:rFonts w:ascii="Cambria" w:hAnsi="Cambria"/>
              </w:rPr>
            </w:pPr>
            <w:r w:rsidRPr="00BF39C0">
              <w:rPr>
                <w:rFonts w:ascii="Cambria" w:hAnsi="Cambria"/>
              </w:rPr>
              <w:t>Kenya</w:t>
            </w:r>
          </w:p>
        </w:tc>
        <w:tc>
          <w:tcPr>
            <w:tcW w:w="0" w:type="auto"/>
            <w:hideMark/>
          </w:tcPr>
          <w:p w14:paraId="0292420E" w14:textId="77777777" w:rsidR="0077355D" w:rsidRPr="00BF39C0" w:rsidRDefault="0077355D" w:rsidP="00BF39C0">
            <w:pPr>
              <w:pStyle w:val="NoSpacing"/>
              <w:jc w:val="center"/>
              <w:rPr>
                <w:rFonts w:ascii="Cambria" w:hAnsi="Cambria"/>
              </w:rPr>
            </w:pPr>
            <w:r w:rsidRPr="00BF39C0">
              <w:rPr>
                <w:rFonts w:ascii="Cambria" w:hAnsi="Cambria"/>
              </w:rPr>
              <w:t>Communications Authority of Kenya</w:t>
            </w:r>
          </w:p>
        </w:tc>
        <w:tc>
          <w:tcPr>
            <w:tcW w:w="0" w:type="auto"/>
            <w:hideMark/>
          </w:tcPr>
          <w:p w14:paraId="3FFCD612" w14:textId="77777777" w:rsidR="0077355D" w:rsidRPr="00BF39C0" w:rsidRDefault="0077355D" w:rsidP="00BF39C0">
            <w:pPr>
              <w:pStyle w:val="NoSpacing"/>
              <w:jc w:val="center"/>
              <w:rPr>
                <w:rFonts w:ascii="Cambria" w:hAnsi="Cambria"/>
              </w:rPr>
            </w:pPr>
            <w:r w:rsidRPr="00BF39C0">
              <w:rPr>
                <w:rFonts w:ascii="Cambria" w:hAnsi="Cambria"/>
              </w:rPr>
              <w:t>National roaming regulatory framework</w:t>
            </w:r>
          </w:p>
        </w:tc>
      </w:tr>
      <w:tr w:rsidR="0077355D" w:rsidRPr="00BF39C0" w14:paraId="4145D033" w14:textId="77777777" w:rsidTr="00BF39C0">
        <w:tc>
          <w:tcPr>
            <w:tcW w:w="0" w:type="auto"/>
            <w:hideMark/>
          </w:tcPr>
          <w:p w14:paraId="52447A4E" w14:textId="77777777" w:rsidR="0077355D" w:rsidRPr="00BF39C0" w:rsidRDefault="0077355D" w:rsidP="00BF39C0">
            <w:pPr>
              <w:pStyle w:val="NoSpacing"/>
              <w:jc w:val="center"/>
              <w:rPr>
                <w:rFonts w:ascii="Cambria" w:hAnsi="Cambria"/>
              </w:rPr>
            </w:pPr>
            <w:r w:rsidRPr="00BF39C0">
              <w:rPr>
                <w:rFonts w:ascii="Cambria" w:hAnsi="Cambria"/>
              </w:rPr>
              <w:t>Nigeria</w:t>
            </w:r>
          </w:p>
        </w:tc>
        <w:tc>
          <w:tcPr>
            <w:tcW w:w="0" w:type="auto"/>
            <w:hideMark/>
          </w:tcPr>
          <w:p w14:paraId="2814EEAF" w14:textId="77777777" w:rsidR="0077355D" w:rsidRPr="00BF39C0" w:rsidRDefault="0077355D" w:rsidP="00BF39C0">
            <w:pPr>
              <w:pStyle w:val="NoSpacing"/>
              <w:jc w:val="center"/>
              <w:rPr>
                <w:rFonts w:ascii="Cambria" w:hAnsi="Cambria"/>
              </w:rPr>
            </w:pPr>
            <w:r w:rsidRPr="00BF39C0">
              <w:rPr>
                <w:rFonts w:ascii="Cambria" w:hAnsi="Cambria"/>
              </w:rPr>
              <w:t>Nigerian Communications Commission</w:t>
            </w:r>
          </w:p>
        </w:tc>
        <w:tc>
          <w:tcPr>
            <w:tcW w:w="0" w:type="auto"/>
            <w:hideMark/>
          </w:tcPr>
          <w:p w14:paraId="46157C13" w14:textId="77777777" w:rsidR="0077355D" w:rsidRPr="00BF39C0" w:rsidRDefault="0077355D" w:rsidP="00BF39C0">
            <w:pPr>
              <w:pStyle w:val="NoSpacing"/>
              <w:jc w:val="center"/>
              <w:rPr>
                <w:rFonts w:ascii="Cambria" w:hAnsi="Cambria"/>
              </w:rPr>
            </w:pPr>
            <w:r w:rsidRPr="00BF39C0">
              <w:rPr>
                <w:rFonts w:ascii="Cambria" w:hAnsi="Cambria"/>
              </w:rPr>
              <w:t>National roaming guidelines</w:t>
            </w:r>
          </w:p>
        </w:tc>
      </w:tr>
      <w:tr w:rsidR="0077355D" w:rsidRPr="00BF39C0" w14:paraId="09277EDF" w14:textId="77777777" w:rsidTr="00BF39C0">
        <w:tc>
          <w:tcPr>
            <w:tcW w:w="0" w:type="auto"/>
            <w:hideMark/>
          </w:tcPr>
          <w:p w14:paraId="2E511290" w14:textId="77777777" w:rsidR="0077355D" w:rsidRPr="00BF39C0" w:rsidRDefault="0077355D" w:rsidP="00BF39C0">
            <w:pPr>
              <w:pStyle w:val="NoSpacing"/>
              <w:jc w:val="center"/>
              <w:rPr>
                <w:rFonts w:ascii="Cambria" w:hAnsi="Cambria"/>
              </w:rPr>
            </w:pPr>
            <w:r w:rsidRPr="00BF39C0">
              <w:rPr>
                <w:rFonts w:ascii="Cambria" w:hAnsi="Cambria"/>
              </w:rPr>
              <w:t>South Africa</w:t>
            </w:r>
          </w:p>
        </w:tc>
        <w:tc>
          <w:tcPr>
            <w:tcW w:w="0" w:type="auto"/>
            <w:hideMark/>
          </w:tcPr>
          <w:p w14:paraId="7741F693" w14:textId="77777777" w:rsidR="0077355D" w:rsidRPr="00BF39C0" w:rsidRDefault="0077355D" w:rsidP="00BF39C0">
            <w:pPr>
              <w:pStyle w:val="NoSpacing"/>
              <w:jc w:val="center"/>
              <w:rPr>
                <w:rFonts w:ascii="Cambria" w:hAnsi="Cambria"/>
              </w:rPr>
            </w:pPr>
            <w:r w:rsidRPr="00BF39C0">
              <w:rPr>
                <w:rFonts w:ascii="Cambria" w:hAnsi="Cambria"/>
              </w:rPr>
              <w:t>Independent Communications Authority of South Africa</w:t>
            </w:r>
          </w:p>
        </w:tc>
        <w:tc>
          <w:tcPr>
            <w:tcW w:w="0" w:type="auto"/>
            <w:hideMark/>
          </w:tcPr>
          <w:p w14:paraId="389D648E" w14:textId="77777777" w:rsidR="0077355D" w:rsidRPr="00BF39C0" w:rsidRDefault="0077355D" w:rsidP="00BF39C0">
            <w:pPr>
              <w:pStyle w:val="NoSpacing"/>
              <w:jc w:val="center"/>
              <w:rPr>
                <w:rFonts w:ascii="Cambria" w:hAnsi="Cambria"/>
              </w:rPr>
            </w:pPr>
            <w:r w:rsidRPr="00BF39C0">
              <w:rPr>
                <w:rFonts w:ascii="Cambria" w:hAnsi="Cambria"/>
              </w:rPr>
              <w:t>Wholesale roaming access obligations</w:t>
            </w:r>
          </w:p>
        </w:tc>
      </w:tr>
      <w:tr w:rsidR="0077355D" w:rsidRPr="00BF39C0" w14:paraId="5914082E" w14:textId="77777777" w:rsidTr="00BF39C0">
        <w:tc>
          <w:tcPr>
            <w:tcW w:w="0" w:type="auto"/>
            <w:hideMark/>
          </w:tcPr>
          <w:p w14:paraId="4B3AD7F9" w14:textId="77777777" w:rsidR="0077355D" w:rsidRPr="00BF39C0" w:rsidRDefault="0077355D" w:rsidP="00BF39C0">
            <w:pPr>
              <w:pStyle w:val="NoSpacing"/>
              <w:jc w:val="center"/>
              <w:rPr>
                <w:rFonts w:ascii="Cambria" w:hAnsi="Cambria"/>
              </w:rPr>
            </w:pPr>
            <w:r w:rsidRPr="00BF39C0">
              <w:rPr>
                <w:rFonts w:ascii="Cambria" w:hAnsi="Cambria"/>
              </w:rPr>
              <w:t>India</w:t>
            </w:r>
          </w:p>
        </w:tc>
        <w:tc>
          <w:tcPr>
            <w:tcW w:w="0" w:type="auto"/>
            <w:hideMark/>
          </w:tcPr>
          <w:p w14:paraId="2B7C56AE" w14:textId="77777777" w:rsidR="0077355D" w:rsidRPr="00BF39C0" w:rsidRDefault="0077355D" w:rsidP="00BF39C0">
            <w:pPr>
              <w:pStyle w:val="NoSpacing"/>
              <w:jc w:val="center"/>
              <w:rPr>
                <w:rFonts w:ascii="Cambria" w:hAnsi="Cambria"/>
              </w:rPr>
            </w:pPr>
            <w:r w:rsidRPr="00BF39C0">
              <w:rPr>
                <w:rFonts w:ascii="Cambria" w:hAnsi="Cambria"/>
              </w:rPr>
              <w:t>Telecom Regulatory Authority of India</w:t>
            </w:r>
          </w:p>
        </w:tc>
        <w:tc>
          <w:tcPr>
            <w:tcW w:w="0" w:type="auto"/>
            <w:hideMark/>
          </w:tcPr>
          <w:p w14:paraId="5C162847" w14:textId="77777777" w:rsidR="0077355D" w:rsidRPr="00BF39C0" w:rsidRDefault="0077355D" w:rsidP="00BF39C0">
            <w:pPr>
              <w:pStyle w:val="NoSpacing"/>
              <w:jc w:val="center"/>
              <w:rPr>
                <w:rFonts w:ascii="Cambria" w:hAnsi="Cambria"/>
              </w:rPr>
            </w:pPr>
            <w:r w:rsidRPr="00BF39C0">
              <w:rPr>
                <w:rFonts w:ascii="Cambria" w:hAnsi="Cambria"/>
              </w:rPr>
              <w:t>Regulated interconnection and roaming frameworks</w:t>
            </w:r>
          </w:p>
        </w:tc>
      </w:tr>
    </w:tbl>
    <w:p w14:paraId="5B457D4C" w14:textId="77777777" w:rsidR="00984217" w:rsidRPr="00D95D19" w:rsidRDefault="00984217" w:rsidP="00D95D19">
      <w:pPr>
        <w:spacing w:line="360" w:lineRule="auto"/>
        <w:rPr>
          <w:rFonts w:ascii="Cambria" w:eastAsiaTheme="majorEastAsia" w:hAnsi="Cambria" w:cstheme="majorBidi"/>
          <w:color w:val="2E74B5" w:themeColor="accent1" w:themeShade="BF"/>
        </w:rPr>
      </w:pPr>
    </w:p>
    <w:p w14:paraId="13E4B6C9" w14:textId="3F64897B" w:rsidR="005B31DC" w:rsidRPr="00306778" w:rsidRDefault="00984217" w:rsidP="002866FA">
      <w:pPr>
        <w:pStyle w:val="Heading2"/>
        <w:numPr>
          <w:ilvl w:val="0"/>
          <w:numId w:val="3"/>
        </w:numPr>
        <w:spacing w:line="360" w:lineRule="auto"/>
        <w:ind w:left="567" w:hanging="567"/>
        <w:rPr>
          <w:rFonts w:ascii="Cambria" w:hAnsi="Cambria"/>
          <w:sz w:val="24"/>
          <w:szCs w:val="24"/>
        </w:rPr>
      </w:pPr>
      <w:bookmarkStart w:id="33" w:name="_Toc219283093"/>
      <w:bookmarkStart w:id="34" w:name="_Toc15730"/>
      <w:bookmarkStart w:id="35" w:name="_Toc223979941"/>
      <w:r w:rsidRPr="00D95D19">
        <w:rPr>
          <w:rFonts w:ascii="Cambria" w:hAnsi="Cambria"/>
          <w:sz w:val="24"/>
          <w:szCs w:val="24"/>
        </w:rPr>
        <w:t>Scope of Services Covered Under National Roaming</w:t>
      </w:r>
      <w:bookmarkEnd w:id="33"/>
      <w:bookmarkEnd w:id="34"/>
      <w:bookmarkEnd w:id="35"/>
    </w:p>
    <w:p w14:paraId="4844FF42" w14:textId="77777777" w:rsidR="00067E67" w:rsidRPr="00D95D19" w:rsidRDefault="00067E67" w:rsidP="00BF39C0">
      <w:pPr>
        <w:pStyle w:val="NoSpacing"/>
        <w:rPr>
          <w:rFonts w:ascii="Cambria" w:hAnsi="Cambria"/>
        </w:rPr>
      </w:pPr>
      <w:r w:rsidRPr="00D95D19">
        <w:rPr>
          <w:rFonts w:ascii="Cambria" w:hAnsi="Cambria"/>
        </w:rPr>
        <w:t>The proposed wholesale national roaming framework shall apply to all mobile telecommunications services delivered through roaming arrangements between operators.</w:t>
      </w:r>
    </w:p>
    <w:p w14:paraId="1251EDB3" w14:textId="77777777" w:rsidR="00BF39C0" w:rsidRDefault="00BF39C0" w:rsidP="00BF39C0">
      <w:pPr>
        <w:pStyle w:val="NoSpacing"/>
        <w:rPr>
          <w:rFonts w:ascii="Cambria" w:hAnsi="Cambria"/>
        </w:rPr>
      </w:pPr>
    </w:p>
    <w:p w14:paraId="1A015056" w14:textId="003F2A99" w:rsidR="00067E67" w:rsidRPr="00D95D19" w:rsidRDefault="00067E67" w:rsidP="00BF39C0">
      <w:pPr>
        <w:pStyle w:val="NoSpacing"/>
        <w:rPr>
          <w:rFonts w:ascii="Cambria" w:hAnsi="Cambria"/>
        </w:rPr>
      </w:pPr>
      <w:r w:rsidRPr="00D95D19">
        <w:rPr>
          <w:rFonts w:ascii="Cambria" w:hAnsi="Cambria"/>
        </w:rPr>
        <w:t>The services covered under this framework include:</w:t>
      </w:r>
    </w:p>
    <w:p w14:paraId="3F73A00D" w14:textId="77777777" w:rsidR="00067E67" w:rsidRPr="00D95D19" w:rsidRDefault="00067E67" w:rsidP="002866FA">
      <w:pPr>
        <w:pStyle w:val="NoSpacing"/>
        <w:numPr>
          <w:ilvl w:val="0"/>
          <w:numId w:val="16"/>
        </w:numPr>
        <w:rPr>
          <w:rFonts w:ascii="Cambria" w:hAnsi="Cambria"/>
        </w:rPr>
      </w:pPr>
      <w:r w:rsidRPr="00D95D19">
        <w:rPr>
          <w:rFonts w:ascii="Cambria" w:hAnsi="Cambria"/>
        </w:rPr>
        <w:t>Voice Services (Mobile Originated and Mobile Terminated)</w:t>
      </w:r>
    </w:p>
    <w:p w14:paraId="51CFDE06" w14:textId="77777777" w:rsidR="00067E67" w:rsidRPr="00D95D19" w:rsidRDefault="00067E67" w:rsidP="002866FA">
      <w:pPr>
        <w:pStyle w:val="NoSpacing"/>
        <w:numPr>
          <w:ilvl w:val="0"/>
          <w:numId w:val="16"/>
        </w:numPr>
        <w:rPr>
          <w:rFonts w:ascii="Cambria" w:hAnsi="Cambria"/>
        </w:rPr>
      </w:pPr>
      <w:r w:rsidRPr="00D95D19">
        <w:rPr>
          <w:rFonts w:ascii="Cambria" w:hAnsi="Cambria"/>
        </w:rPr>
        <w:t>Short Message Service (SMS)</w:t>
      </w:r>
    </w:p>
    <w:p w14:paraId="2E857B13" w14:textId="77777777" w:rsidR="00067E67" w:rsidRPr="00D95D19" w:rsidRDefault="00067E67" w:rsidP="002866FA">
      <w:pPr>
        <w:pStyle w:val="NoSpacing"/>
        <w:numPr>
          <w:ilvl w:val="0"/>
          <w:numId w:val="16"/>
        </w:numPr>
        <w:rPr>
          <w:rFonts w:ascii="Cambria" w:hAnsi="Cambria"/>
        </w:rPr>
      </w:pPr>
      <w:r w:rsidRPr="00D95D19">
        <w:rPr>
          <w:rFonts w:ascii="Cambria" w:hAnsi="Cambria"/>
        </w:rPr>
        <w:t>Data Services</w:t>
      </w:r>
    </w:p>
    <w:p w14:paraId="51CF5B26" w14:textId="77777777" w:rsidR="00067E67" w:rsidRPr="00D95D19" w:rsidRDefault="00067E67" w:rsidP="002866FA">
      <w:pPr>
        <w:pStyle w:val="NoSpacing"/>
        <w:numPr>
          <w:ilvl w:val="0"/>
          <w:numId w:val="16"/>
        </w:numPr>
        <w:rPr>
          <w:rFonts w:ascii="Cambria" w:hAnsi="Cambria"/>
        </w:rPr>
      </w:pPr>
      <w:r w:rsidRPr="00D95D19">
        <w:rPr>
          <w:rFonts w:ascii="Cambria" w:hAnsi="Cambria"/>
        </w:rPr>
        <w:t>Unstructured Supplementary Service Data (USSD)</w:t>
      </w:r>
    </w:p>
    <w:p w14:paraId="5A276DD4" w14:textId="77777777" w:rsidR="00BF39C0" w:rsidRDefault="00BF39C0" w:rsidP="00BF39C0">
      <w:pPr>
        <w:pStyle w:val="NoSpacing"/>
        <w:rPr>
          <w:rFonts w:ascii="Cambria" w:hAnsi="Cambria"/>
        </w:rPr>
      </w:pPr>
    </w:p>
    <w:p w14:paraId="1AE89314" w14:textId="7C79726B" w:rsidR="00067E67" w:rsidRDefault="00067E67" w:rsidP="00BF39C0">
      <w:pPr>
        <w:pStyle w:val="NoSpacing"/>
        <w:rPr>
          <w:rFonts w:ascii="Cambria" w:hAnsi="Cambria"/>
        </w:rPr>
      </w:pPr>
      <w:r w:rsidRPr="00D95D19">
        <w:rPr>
          <w:rFonts w:ascii="Cambria" w:hAnsi="Cambria"/>
        </w:rPr>
        <w:t>These services constitute the primary retail mobile services consumed by subscribers and are therefore critical components of a comprehensive national roaming framework.</w:t>
      </w:r>
    </w:p>
    <w:p w14:paraId="51B1D951" w14:textId="77777777" w:rsidR="00BF39C0" w:rsidRDefault="00BF39C0" w:rsidP="00BF39C0">
      <w:pPr>
        <w:pStyle w:val="NoSpacing"/>
        <w:rPr>
          <w:rFonts w:ascii="Cambria" w:hAnsi="Cambria"/>
        </w:rPr>
      </w:pPr>
    </w:p>
    <w:p w14:paraId="02D24AC7" w14:textId="77F83AB0" w:rsidR="00863ED3" w:rsidRDefault="00BF39C0" w:rsidP="00BF39C0">
      <w:pPr>
        <w:pStyle w:val="NoSpacing"/>
        <w:rPr>
          <w:rFonts w:ascii="Cambria" w:hAnsi="Cambria"/>
        </w:rPr>
      </w:pPr>
      <w:r w:rsidRPr="00BF39C0">
        <w:rPr>
          <w:rFonts w:ascii="Cambria" w:hAnsi="Cambria"/>
        </w:rPr>
        <w:t>The framework will also apply to roaming arrangements involving infrastructure deployed under the Ghana Investment Fund for Electronic Communications (GIFEC) Rural Telephony Project, which aims to expand connectivity in underserved communities.</w:t>
      </w:r>
    </w:p>
    <w:p w14:paraId="6D927C3B" w14:textId="77777777" w:rsidR="00BF39C0" w:rsidRPr="00D95D19" w:rsidRDefault="00BF39C0" w:rsidP="00BF39C0">
      <w:pPr>
        <w:pStyle w:val="NoSpacing"/>
        <w:rPr>
          <w:rFonts w:ascii="Cambria" w:hAnsi="Cambria"/>
        </w:rPr>
      </w:pPr>
    </w:p>
    <w:p w14:paraId="48F50278" w14:textId="7F58F9F0" w:rsidR="00067E67" w:rsidRPr="00306778" w:rsidRDefault="00067E67" w:rsidP="002866FA">
      <w:pPr>
        <w:pStyle w:val="Heading2"/>
        <w:numPr>
          <w:ilvl w:val="0"/>
          <w:numId w:val="3"/>
        </w:numPr>
        <w:spacing w:line="360" w:lineRule="auto"/>
        <w:ind w:left="567" w:hanging="567"/>
        <w:rPr>
          <w:rFonts w:ascii="Cambria" w:hAnsi="Cambria"/>
          <w:sz w:val="24"/>
          <w:szCs w:val="24"/>
        </w:rPr>
      </w:pPr>
      <w:bookmarkStart w:id="36" w:name="_Toc223979942"/>
      <w:r w:rsidRPr="00D95D19">
        <w:rPr>
          <w:rFonts w:ascii="Cambria" w:hAnsi="Cambria"/>
          <w:sz w:val="24"/>
          <w:szCs w:val="24"/>
        </w:rPr>
        <w:t>Proposed National Roaming Wholesale Rates</w:t>
      </w:r>
      <w:bookmarkEnd w:id="36"/>
    </w:p>
    <w:p w14:paraId="4E6C0B6E" w14:textId="77777777" w:rsidR="00BF39C0" w:rsidRDefault="00BF39C0" w:rsidP="00BF39C0">
      <w:pPr>
        <w:pStyle w:val="NoSpacing"/>
        <w:rPr>
          <w:rFonts w:ascii="Cambria" w:hAnsi="Cambria"/>
        </w:rPr>
      </w:pPr>
      <w:r w:rsidRPr="00BF39C0">
        <w:rPr>
          <w:rFonts w:ascii="Cambria" w:hAnsi="Cambria"/>
        </w:rPr>
        <w:t>Based on the Authority’s benchmark analysis, the following reference wholesale rates are proposed.</w:t>
      </w:r>
    </w:p>
    <w:p w14:paraId="1483B977" w14:textId="77777777" w:rsidR="00BF39C0" w:rsidRDefault="00BF39C0" w:rsidP="00BF39C0">
      <w:pPr>
        <w:pStyle w:val="NoSpacing"/>
        <w:rPr>
          <w:rFonts w:ascii="Cambria" w:hAnsi="Cambria"/>
        </w:rPr>
      </w:pPr>
    </w:p>
    <w:p w14:paraId="68B6510F" w14:textId="77777777" w:rsidR="00BF39C0" w:rsidRDefault="00BF39C0" w:rsidP="00BF39C0">
      <w:pPr>
        <w:pStyle w:val="NoSpacing"/>
        <w:jc w:val="center"/>
        <w:rPr>
          <w:rFonts w:ascii="Cambria" w:hAnsi="Cambria"/>
          <w:i/>
          <w:iCs/>
        </w:rPr>
      </w:pPr>
    </w:p>
    <w:p w14:paraId="6E8FC74B" w14:textId="77777777" w:rsidR="00BF39C0" w:rsidRDefault="00BF39C0" w:rsidP="00BF39C0">
      <w:pPr>
        <w:pStyle w:val="NoSpacing"/>
        <w:jc w:val="center"/>
        <w:rPr>
          <w:rFonts w:ascii="Cambria" w:hAnsi="Cambria"/>
          <w:i/>
          <w:iCs/>
        </w:rPr>
      </w:pPr>
    </w:p>
    <w:p w14:paraId="75D4A30B" w14:textId="77777777" w:rsidR="00BF39C0" w:rsidRDefault="00BF39C0" w:rsidP="00BF39C0">
      <w:pPr>
        <w:pStyle w:val="NoSpacing"/>
        <w:jc w:val="center"/>
        <w:rPr>
          <w:rFonts w:ascii="Cambria" w:hAnsi="Cambria"/>
          <w:i/>
          <w:iCs/>
        </w:rPr>
      </w:pPr>
    </w:p>
    <w:p w14:paraId="393BE05D" w14:textId="77777777" w:rsidR="00BF39C0" w:rsidRDefault="00BF39C0" w:rsidP="00BF39C0">
      <w:pPr>
        <w:pStyle w:val="NoSpacing"/>
        <w:jc w:val="center"/>
        <w:rPr>
          <w:rFonts w:ascii="Cambria" w:hAnsi="Cambria"/>
          <w:i/>
          <w:iCs/>
        </w:rPr>
      </w:pPr>
    </w:p>
    <w:p w14:paraId="31D973A5" w14:textId="77777777" w:rsidR="00BF39C0" w:rsidRDefault="00BF39C0" w:rsidP="00BF39C0">
      <w:pPr>
        <w:pStyle w:val="NoSpacing"/>
        <w:jc w:val="center"/>
        <w:rPr>
          <w:rFonts w:ascii="Cambria" w:hAnsi="Cambria"/>
          <w:i/>
          <w:iCs/>
        </w:rPr>
      </w:pPr>
    </w:p>
    <w:p w14:paraId="0911E636" w14:textId="515EC587" w:rsidR="00067E67" w:rsidRPr="00BF39C0" w:rsidRDefault="00BF39C0" w:rsidP="00BF39C0">
      <w:pPr>
        <w:pStyle w:val="NoSpacing"/>
        <w:jc w:val="center"/>
        <w:rPr>
          <w:rFonts w:ascii="Cambria" w:hAnsi="Cambria"/>
          <w:i/>
          <w:iCs/>
        </w:rPr>
      </w:pPr>
      <w:r w:rsidRPr="00BF39C0">
        <w:rPr>
          <w:rFonts w:ascii="Cambria" w:hAnsi="Cambria"/>
          <w:i/>
          <w:iCs/>
        </w:rPr>
        <w:lastRenderedPageBreak/>
        <w:t xml:space="preserve">Table </w:t>
      </w:r>
      <w:r w:rsidRPr="00BF39C0">
        <w:rPr>
          <w:rFonts w:ascii="Cambria" w:hAnsi="Cambria"/>
          <w:i/>
          <w:iCs/>
        </w:rPr>
        <w:fldChar w:fldCharType="begin"/>
      </w:r>
      <w:r w:rsidRPr="00BF39C0">
        <w:rPr>
          <w:rFonts w:ascii="Cambria" w:hAnsi="Cambria"/>
          <w:i/>
          <w:iCs/>
        </w:rPr>
        <w:instrText xml:space="preserve"> SEQ Table \* ARABIC </w:instrText>
      </w:r>
      <w:r w:rsidRPr="00BF39C0">
        <w:rPr>
          <w:rFonts w:ascii="Cambria" w:hAnsi="Cambria"/>
          <w:i/>
          <w:iCs/>
        </w:rPr>
        <w:fldChar w:fldCharType="separate"/>
      </w:r>
      <w:r w:rsidR="00EB3DE7">
        <w:rPr>
          <w:rFonts w:ascii="Cambria" w:hAnsi="Cambria"/>
          <w:i/>
          <w:iCs/>
          <w:noProof/>
        </w:rPr>
        <w:t>3</w:t>
      </w:r>
      <w:r w:rsidRPr="00BF39C0">
        <w:rPr>
          <w:rFonts w:ascii="Cambria" w:hAnsi="Cambria"/>
          <w:i/>
          <w:iCs/>
        </w:rPr>
        <w:fldChar w:fldCharType="end"/>
      </w:r>
      <w:r w:rsidRPr="00BF39C0">
        <w:rPr>
          <w:rFonts w:ascii="Cambria" w:hAnsi="Cambria"/>
          <w:i/>
          <w:iCs/>
        </w:rPr>
        <w:t xml:space="preserve">: Proposed </w:t>
      </w:r>
      <w:r w:rsidR="006B6ED0" w:rsidRPr="00BF39C0">
        <w:rPr>
          <w:rFonts w:ascii="Cambria" w:hAnsi="Cambria"/>
          <w:i/>
          <w:iCs/>
        </w:rPr>
        <w:t>National Roaming Wholesale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067E67" w:rsidRPr="00D95D19" w14:paraId="25A3233A" w14:textId="77777777" w:rsidTr="008B2D7C">
        <w:tc>
          <w:tcPr>
            <w:tcW w:w="3009" w:type="dxa"/>
          </w:tcPr>
          <w:p w14:paraId="0EB962C3"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Service Category</w:t>
            </w:r>
          </w:p>
        </w:tc>
        <w:tc>
          <w:tcPr>
            <w:tcW w:w="3009" w:type="dxa"/>
          </w:tcPr>
          <w:p w14:paraId="790E8EB4"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Service Type</w:t>
            </w:r>
          </w:p>
        </w:tc>
        <w:tc>
          <w:tcPr>
            <w:tcW w:w="3009" w:type="dxa"/>
          </w:tcPr>
          <w:p w14:paraId="3E85949D" w14:textId="6E08C6FA"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Proposed Wholesale Rate (</w:t>
            </w:r>
            <w:r w:rsidR="00BF39C0">
              <w:rPr>
                <w:rFonts w:ascii="Cambria" w:eastAsiaTheme="majorEastAsia" w:hAnsi="Cambria"/>
              </w:rPr>
              <w:t>GHS</w:t>
            </w:r>
            <w:r w:rsidRPr="00D95D19">
              <w:rPr>
                <w:rFonts w:ascii="Cambria" w:eastAsiaTheme="majorEastAsia" w:hAnsi="Cambria"/>
              </w:rPr>
              <w:t>)</w:t>
            </w:r>
          </w:p>
        </w:tc>
      </w:tr>
      <w:tr w:rsidR="00067E67" w:rsidRPr="00D95D19" w14:paraId="788BE753" w14:textId="77777777" w:rsidTr="008B2D7C">
        <w:tc>
          <w:tcPr>
            <w:tcW w:w="3009" w:type="dxa"/>
          </w:tcPr>
          <w:p w14:paraId="7E8B39E3"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Voice Service</w:t>
            </w:r>
          </w:p>
        </w:tc>
        <w:tc>
          <w:tcPr>
            <w:tcW w:w="3009" w:type="dxa"/>
          </w:tcPr>
          <w:p w14:paraId="3E38C728"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Mobile Originated (MO)</w:t>
            </w:r>
          </w:p>
        </w:tc>
        <w:tc>
          <w:tcPr>
            <w:tcW w:w="3009" w:type="dxa"/>
          </w:tcPr>
          <w:p w14:paraId="233D0F97"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0.0053 per minute</w:t>
            </w:r>
          </w:p>
        </w:tc>
      </w:tr>
      <w:tr w:rsidR="00067E67" w:rsidRPr="00D95D19" w14:paraId="5152E28B" w14:textId="77777777" w:rsidTr="008B2D7C">
        <w:tc>
          <w:tcPr>
            <w:tcW w:w="3009" w:type="dxa"/>
          </w:tcPr>
          <w:p w14:paraId="2A364255"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Voice Service</w:t>
            </w:r>
          </w:p>
        </w:tc>
        <w:tc>
          <w:tcPr>
            <w:tcW w:w="3009" w:type="dxa"/>
          </w:tcPr>
          <w:p w14:paraId="7E9B6EFF"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Mobile Terminated (MT)</w:t>
            </w:r>
          </w:p>
        </w:tc>
        <w:tc>
          <w:tcPr>
            <w:tcW w:w="3009" w:type="dxa"/>
          </w:tcPr>
          <w:p w14:paraId="2BFE2EB7"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0.0053 per minute</w:t>
            </w:r>
          </w:p>
        </w:tc>
      </w:tr>
      <w:tr w:rsidR="00067E67" w:rsidRPr="00D95D19" w14:paraId="63BAC494" w14:textId="77777777" w:rsidTr="008B2D7C">
        <w:tc>
          <w:tcPr>
            <w:tcW w:w="3009" w:type="dxa"/>
          </w:tcPr>
          <w:p w14:paraId="73C9D3F2"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SMS Service</w:t>
            </w:r>
          </w:p>
        </w:tc>
        <w:tc>
          <w:tcPr>
            <w:tcW w:w="3009" w:type="dxa"/>
          </w:tcPr>
          <w:p w14:paraId="20D4E8DF"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Mobile Originated (MO)</w:t>
            </w:r>
          </w:p>
        </w:tc>
        <w:tc>
          <w:tcPr>
            <w:tcW w:w="3009" w:type="dxa"/>
          </w:tcPr>
          <w:p w14:paraId="22F67387"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0.00003 per SMS</w:t>
            </w:r>
          </w:p>
        </w:tc>
      </w:tr>
      <w:tr w:rsidR="00067E67" w:rsidRPr="00D95D19" w14:paraId="4A341C73" w14:textId="77777777" w:rsidTr="008B2D7C">
        <w:tc>
          <w:tcPr>
            <w:tcW w:w="3009" w:type="dxa"/>
          </w:tcPr>
          <w:p w14:paraId="0F1446FF"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SMS Service</w:t>
            </w:r>
          </w:p>
        </w:tc>
        <w:tc>
          <w:tcPr>
            <w:tcW w:w="3009" w:type="dxa"/>
          </w:tcPr>
          <w:p w14:paraId="17F46753"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Mobile Terminated (MT)</w:t>
            </w:r>
          </w:p>
        </w:tc>
        <w:tc>
          <w:tcPr>
            <w:tcW w:w="3009" w:type="dxa"/>
          </w:tcPr>
          <w:p w14:paraId="162CA7F5"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0.00003 per SMS</w:t>
            </w:r>
          </w:p>
        </w:tc>
      </w:tr>
      <w:tr w:rsidR="00067E67" w:rsidRPr="00D95D19" w14:paraId="06CC9270" w14:textId="77777777" w:rsidTr="008B2D7C">
        <w:tc>
          <w:tcPr>
            <w:tcW w:w="3009" w:type="dxa"/>
          </w:tcPr>
          <w:p w14:paraId="4C343554"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Data Service</w:t>
            </w:r>
          </w:p>
        </w:tc>
        <w:tc>
          <w:tcPr>
            <w:tcW w:w="3009" w:type="dxa"/>
          </w:tcPr>
          <w:p w14:paraId="09EEB149"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Data Usage</w:t>
            </w:r>
          </w:p>
        </w:tc>
        <w:tc>
          <w:tcPr>
            <w:tcW w:w="3009" w:type="dxa"/>
          </w:tcPr>
          <w:p w14:paraId="2513E1DD"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0.0032 per MB</w:t>
            </w:r>
          </w:p>
        </w:tc>
      </w:tr>
      <w:tr w:rsidR="00067E67" w:rsidRPr="00D95D19" w14:paraId="416E89FA" w14:textId="77777777" w:rsidTr="008B2D7C">
        <w:tc>
          <w:tcPr>
            <w:tcW w:w="3009" w:type="dxa"/>
          </w:tcPr>
          <w:p w14:paraId="711A7A2C"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USSD Service</w:t>
            </w:r>
          </w:p>
        </w:tc>
        <w:tc>
          <w:tcPr>
            <w:tcW w:w="3009" w:type="dxa"/>
          </w:tcPr>
          <w:p w14:paraId="1FCDDFA0"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USSD Session</w:t>
            </w:r>
          </w:p>
        </w:tc>
        <w:tc>
          <w:tcPr>
            <w:tcW w:w="3009" w:type="dxa"/>
          </w:tcPr>
          <w:p w14:paraId="3808B758" w14:textId="77777777" w:rsidR="00067E67" w:rsidRPr="00D95D19" w:rsidRDefault="00067E67" w:rsidP="00D95D19">
            <w:pPr>
              <w:spacing w:line="360" w:lineRule="auto"/>
              <w:rPr>
                <w:rFonts w:ascii="Cambria" w:eastAsiaTheme="majorEastAsia" w:hAnsi="Cambria"/>
              </w:rPr>
            </w:pPr>
            <w:r w:rsidRPr="00D95D19">
              <w:rPr>
                <w:rFonts w:ascii="Cambria" w:eastAsiaTheme="majorEastAsia" w:hAnsi="Cambria"/>
              </w:rPr>
              <w:t>0.00003 per USSD session</w:t>
            </w:r>
          </w:p>
        </w:tc>
      </w:tr>
    </w:tbl>
    <w:p w14:paraId="48B021F3" w14:textId="77777777" w:rsidR="00067E67" w:rsidRPr="00D95D19" w:rsidRDefault="00067E67" w:rsidP="00D95D19">
      <w:pPr>
        <w:spacing w:line="360" w:lineRule="auto"/>
        <w:rPr>
          <w:rFonts w:ascii="Cambria" w:eastAsiaTheme="majorEastAsia" w:hAnsi="Cambria"/>
        </w:rPr>
      </w:pPr>
    </w:p>
    <w:p w14:paraId="04E9CFB9" w14:textId="6083AB4E" w:rsidR="00A24805" w:rsidRPr="00A24805" w:rsidRDefault="00A24805" w:rsidP="00A24805">
      <w:pPr>
        <w:pStyle w:val="NoSpacing"/>
        <w:rPr>
          <w:rFonts w:ascii="Cambria" w:hAnsi="Cambria"/>
        </w:rPr>
      </w:pPr>
      <w:r w:rsidRPr="00A24805">
        <w:rPr>
          <w:rFonts w:ascii="Cambria" w:hAnsi="Cambria"/>
        </w:rPr>
        <w:t>These rates represent </w:t>
      </w:r>
      <w:r w:rsidRPr="00A24805">
        <w:rPr>
          <w:rFonts w:ascii="Cambria" w:hAnsi="Cambria"/>
          <w:b/>
          <w:bCs/>
        </w:rPr>
        <w:t>reference wholesale ceiling rates</w:t>
      </w:r>
      <w:r w:rsidRPr="00A24805">
        <w:rPr>
          <w:rFonts w:ascii="Cambria" w:hAnsi="Cambria"/>
        </w:rPr>
        <w:t> to guide national roaming agreements between operators.</w:t>
      </w:r>
      <w:r w:rsidR="00481D67">
        <w:rPr>
          <w:rFonts w:ascii="Cambria" w:hAnsi="Cambria"/>
        </w:rPr>
        <w:t xml:space="preserve"> </w:t>
      </w:r>
      <w:r w:rsidRPr="00A24805">
        <w:rPr>
          <w:rFonts w:ascii="Cambria" w:hAnsi="Cambria"/>
        </w:rPr>
        <w:t>Operators may negotiate lower commercial rates where mutually agreed.</w:t>
      </w:r>
    </w:p>
    <w:p w14:paraId="4B34403A" w14:textId="77777777" w:rsidR="00481D67" w:rsidRDefault="00481D67" w:rsidP="00A24805">
      <w:pPr>
        <w:pStyle w:val="NoSpacing"/>
        <w:rPr>
          <w:rFonts w:ascii="Cambria" w:hAnsi="Cambria"/>
        </w:rPr>
      </w:pPr>
    </w:p>
    <w:p w14:paraId="18D29DE3" w14:textId="3076735B" w:rsidR="00A24805" w:rsidRPr="00A24805" w:rsidRDefault="00A24805" w:rsidP="00A24805">
      <w:pPr>
        <w:pStyle w:val="NoSpacing"/>
        <w:rPr>
          <w:rFonts w:ascii="Cambria" w:hAnsi="Cambria"/>
        </w:rPr>
      </w:pPr>
      <w:r w:rsidRPr="00A24805">
        <w:rPr>
          <w:rFonts w:ascii="Cambria" w:hAnsi="Cambria"/>
        </w:rPr>
        <w:t>The Authority may periodically review these rates based on:</w:t>
      </w:r>
    </w:p>
    <w:p w14:paraId="62FFD159" w14:textId="77777777" w:rsidR="00A24805" w:rsidRPr="00A24805" w:rsidRDefault="00A24805" w:rsidP="002866FA">
      <w:pPr>
        <w:pStyle w:val="NoSpacing"/>
        <w:numPr>
          <w:ilvl w:val="0"/>
          <w:numId w:val="17"/>
        </w:numPr>
        <w:rPr>
          <w:rFonts w:ascii="Cambria" w:hAnsi="Cambria"/>
        </w:rPr>
      </w:pPr>
      <w:r w:rsidRPr="00A24805">
        <w:rPr>
          <w:rFonts w:ascii="Cambria" w:hAnsi="Cambria"/>
        </w:rPr>
        <w:t>market developments</w:t>
      </w:r>
    </w:p>
    <w:p w14:paraId="0B0F32E7" w14:textId="77777777" w:rsidR="00A24805" w:rsidRPr="00A24805" w:rsidRDefault="00A24805" w:rsidP="002866FA">
      <w:pPr>
        <w:pStyle w:val="NoSpacing"/>
        <w:numPr>
          <w:ilvl w:val="0"/>
          <w:numId w:val="17"/>
        </w:numPr>
        <w:rPr>
          <w:rFonts w:ascii="Cambria" w:hAnsi="Cambria"/>
        </w:rPr>
      </w:pPr>
      <w:r w:rsidRPr="00A24805">
        <w:rPr>
          <w:rFonts w:ascii="Cambria" w:hAnsi="Cambria"/>
        </w:rPr>
        <w:t>traffic volumes</w:t>
      </w:r>
    </w:p>
    <w:p w14:paraId="61208D26" w14:textId="77777777" w:rsidR="00A24805" w:rsidRPr="00A24805" w:rsidRDefault="00A24805" w:rsidP="002866FA">
      <w:pPr>
        <w:pStyle w:val="NoSpacing"/>
        <w:numPr>
          <w:ilvl w:val="0"/>
          <w:numId w:val="17"/>
        </w:numPr>
        <w:rPr>
          <w:rFonts w:ascii="Cambria" w:hAnsi="Cambria"/>
        </w:rPr>
      </w:pPr>
      <w:r w:rsidRPr="00A24805">
        <w:rPr>
          <w:rFonts w:ascii="Cambria" w:hAnsi="Cambria"/>
        </w:rPr>
        <w:t>technological changes</w:t>
      </w:r>
    </w:p>
    <w:p w14:paraId="38D3E4B7" w14:textId="77777777" w:rsidR="00A24805" w:rsidRPr="00A24805" w:rsidRDefault="00A24805" w:rsidP="002866FA">
      <w:pPr>
        <w:pStyle w:val="NoSpacing"/>
        <w:numPr>
          <w:ilvl w:val="0"/>
          <w:numId w:val="17"/>
        </w:numPr>
        <w:rPr>
          <w:rFonts w:ascii="Cambria" w:hAnsi="Cambria"/>
        </w:rPr>
      </w:pPr>
      <w:r w:rsidRPr="00A24805">
        <w:rPr>
          <w:rFonts w:ascii="Cambria" w:hAnsi="Cambria"/>
        </w:rPr>
        <w:t>competition considerations.</w:t>
      </w:r>
    </w:p>
    <w:p w14:paraId="643C3E89" w14:textId="77777777" w:rsidR="00984217" w:rsidRPr="00D95D19" w:rsidRDefault="00984217" w:rsidP="00D95D19">
      <w:pPr>
        <w:rPr>
          <w:rFonts w:eastAsiaTheme="majorEastAsia"/>
        </w:rPr>
      </w:pPr>
    </w:p>
    <w:p w14:paraId="3E12C329" w14:textId="5CEF1BC3" w:rsidR="005B31DC" w:rsidRPr="00481D67" w:rsidRDefault="00945C37" w:rsidP="002866FA">
      <w:pPr>
        <w:pStyle w:val="Heading2"/>
        <w:numPr>
          <w:ilvl w:val="0"/>
          <w:numId w:val="3"/>
        </w:numPr>
        <w:spacing w:line="360" w:lineRule="auto"/>
        <w:ind w:left="567" w:hanging="567"/>
        <w:rPr>
          <w:rFonts w:ascii="Cambria" w:hAnsi="Cambria"/>
          <w:sz w:val="24"/>
          <w:szCs w:val="24"/>
        </w:rPr>
      </w:pPr>
      <w:bookmarkStart w:id="37" w:name="_Toc219283099"/>
      <w:bookmarkStart w:id="38" w:name="_Toc12085"/>
      <w:bookmarkStart w:id="39" w:name="_Toc223979943"/>
      <w:r w:rsidRPr="00306778">
        <w:rPr>
          <w:rFonts w:ascii="Cambria" w:hAnsi="Cambria"/>
          <w:sz w:val="24"/>
          <w:szCs w:val="24"/>
        </w:rPr>
        <w:t>Compliance and Enforcement</w:t>
      </w:r>
      <w:bookmarkEnd w:id="37"/>
      <w:bookmarkEnd w:id="38"/>
      <w:bookmarkEnd w:id="39"/>
    </w:p>
    <w:p w14:paraId="68146170" w14:textId="77777777" w:rsidR="00481D67" w:rsidRPr="00481D67" w:rsidRDefault="00481D67" w:rsidP="00481D67">
      <w:pPr>
        <w:pStyle w:val="NoSpacing"/>
        <w:rPr>
          <w:rFonts w:ascii="Cambria" w:hAnsi="Cambria"/>
        </w:rPr>
      </w:pPr>
      <w:r w:rsidRPr="00481D67">
        <w:rPr>
          <w:rFonts w:ascii="Cambria" w:hAnsi="Cambria"/>
        </w:rPr>
        <w:t>Operators are required to comply with the national roaming wholesale rate framework once finalised.</w:t>
      </w:r>
    </w:p>
    <w:p w14:paraId="6307C9F0" w14:textId="77777777" w:rsidR="00470C77" w:rsidRDefault="00470C77" w:rsidP="00481D67">
      <w:pPr>
        <w:pStyle w:val="NoSpacing"/>
        <w:rPr>
          <w:rFonts w:ascii="Cambria" w:hAnsi="Cambria"/>
        </w:rPr>
      </w:pPr>
    </w:p>
    <w:p w14:paraId="70EAEB4A" w14:textId="5949106B" w:rsidR="00481D67" w:rsidRPr="00481D67" w:rsidRDefault="00481D67" w:rsidP="00481D67">
      <w:pPr>
        <w:pStyle w:val="NoSpacing"/>
        <w:rPr>
          <w:rFonts w:ascii="Cambria" w:hAnsi="Cambria"/>
        </w:rPr>
      </w:pPr>
      <w:r w:rsidRPr="00481D67">
        <w:rPr>
          <w:rFonts w:ascii="Cambria" w:hAnsi="Cambria"/>
        </w:rPr>
        <w:t>Failure to comply may result in enforcement measures including:</w:t>
      </w:r>
    </w:p>
    <w:p w14:paraId="7F515B68" w14:textId="77777777" w:rsidR="00481D67" w:rsidRPr="00481D67" w:rsidRDefault="00481D67" w:rsidP="002866FA">
      <w:pPr>
        <w:pStyle w:val="NoSpacing"/>
        <w:numPr>
          <w:ilvl w:val="0"/>
          <w:numId w:val="18"/>
        </w:numPr>
        <w:rPr>
          <w:rFonts w:ascii="Cambria" w:hAnsi="Cambria"/>
        </w:rPr>
      </w:pPr>
      <w:r w:rsidRPr="00481D67">
        <w:rPr>
          <w:rFonts w:ascii="Cambria" w:hAnsi="Cambria"/>
        </w:rPr>
        <w:t>administrative penalties</w:t>
      </w:r>
    </w:p>
    <w:p w14:paraId="6F2CA9C7" w14:textId="77777777" w:rsidR="00481D67" w:rsidRPr="00481D67" w:rsidRDefault="00481D67" w:rsidP="002866FA">
      <w:pPr>
        <w:pStyle w:val="NoSpacing"/>
        <w:numPr>
          <w:ilvl w:val="0"/>
          <w:numId w:val="18"/>
        </w:numPr>
        <w:rPr>
          <w:rFonts w:ascii="Cambria" w:hAnsi="Cambria"/>
        </w:rPr>
      </w:pPr>
      <w:r w:rsidRPr="00481D67">
        <w:rPr>
          <w:rFonts w:ascii="Cambria" w:hAnsi="Cambria"/>
        </w:rPr>
        <w:t>regulatory directives</w:t>
      </w:r>
    </w:p>
    <w:p w14:paraId="1F7A2105" w14:textId="77777777" w:rsidR="00481D67" w:rsidRPr="00481D67" w:rsidRDefault="00481D67" w:rsidP="002866FA">
      <w:pPr>
        <w:pStyle w:val="NoSpacing"/>
        <w:numPr>
          <w:ilvl w:val="0"/>
          <w:numId w:val="18"/>
        </w:numPr>
        <w:rPr>
          <w:rFonts w:ascii="Cambria" w:hAnsi="Cambria"/>
        </w:rPr>
      </w:pPr>
      <w:r w:rsidRPr="00481D67">
        <w:rPr>
          <w:rFonts w:ascii="Cambria" w:hAnsi="Cambria"/>
        </w:rPr>
        <w:t>other sanctions permitted under Act 775.</w:t>
      </w:r>
    </w:p>
    <w:p w14:paraId="313796F9" w14:textId="77777777" w:rsidR="00470C77" w:rsidRDefault="00470C77" w:rsidP="00481D67">
      <w:pPr>
        <w:pStyle w:val="NoSpacing"/>
        <w:rPr>
          <w:rFonts w:ascii="Cambria" w:hAnsi="Cambria"/>
        </w:rPr>
      </w:pPr>
    </w:p>
    <w:p w14:paraId="2B517BAF" w14:textId="2EB00188" w:rsidR="00481D67" w:rsidRPr="00481D67" w:rsidRDefault="00481D67" w:rsidP="00481D67">
      <w:pPr>
        <w:pStyle w:val="NoSpacing"/>
        <w:rPr>
          <w:rFonts w:ascii="Cambria" w:hAnsi="Cambria"/>
        </w:rPr>
      </w:pPr>
      <w:r w:rsidRPr="00481D67">
        <w:rPr>
          <w:rFonts w:ascii="Cambria" w:hAnsi="Cambria"/>
        </w:rPr>
        <w:t>Operators shall implement the regulated wholesale roaming rates within </w:t>
      </w:r>
      <w:r w:rsidRPr="00481D67">
        <w:rPr>
          <w:rFonts w:ascii="Cambria" w:hAnsi="Cambria"/>
          <w:b/>
          <w:bCs/>
        </w:rPr>
        <w:t>ninety (90) days</w:t>
      </w:r>
      <w:r w:rsidRPr="00481D67">
        <w:rPr>
          <w:rFonts w:ascii="Cambria" w:hAnsi="Cambria"/>
        </w:rPr>
        <w:t> following the publication of the final regulatory guidelines.</w:t>
      </w:r>
    </w:p>
    <w:p w14:paraId="05359134" w14:textId="77777777" w:rsidR="00470C77" w:rsidRDefault="00470C77" w:rsidP="00481D67">
      <w:pPr>
        <w:pStyle w:val="NoSpacing"/>
        <w:rPr>
          <w:rFonts w:ascii="Cambria" w:hAnsi="Cambria"/>
        </w:rPr>
      </w:pPr>
    </w:p>
    <w:p w14:paraId="7002AB42" w14:textId="3CA79CC2" w:rsidR="00481D67" w:rsidRPr="00481D67" w:rsidRDefault="00481D67" w:rsidP="00481D67">
      <w:pPr>
        <w:pStyle w:val="NoSpacing"/>
        <w:rPr>
          <w:rFonts w:ascii="Cambria" w:hAnsi="Cambria"/>
        </w:rPr>
      </w:pPr>
      <w:r w:rsidRPr="00481D67">
        <w:rPr>
          <w:rFonts w:ascii="Cambria" w:hAnsi="Cambria"/>
        </w:rPr>
        <w:t>Existing bilateral roaming agreements shall be amended to comply with the regulated rates within the implementation period.</w:t>
      </w:r>
    </w:p>
    <w:p w14:paraId="7989D803" w14:textId="77777777" w:rsidR="005B31DC" w:rsidRDefault="005B31DC">
      <w:pPr>
        <w:spacing w:after="160" w:line="480" w:lineRule="auto"/>
        <w:jc w:val="both"/>
        <w:rPr>
          <w:rFonts w:ascii="Cambria" w:hAnsi="Cambria" w:cs="Cambria"/>
          <w:lang w:val="en-US"/>
        </w:rPr>
      </w:pPr>
    </w:p>
    <w:p w14:paraId="3830F269" w14:textId="77777777" w:rsidR="005B31DC" w:rsidRDefault="005B31DC">
      <w:pPr>
        <w:spacing w:after="160" w:line="480" w:lineRule="auto"/>
        <w:jc w:val="both"/>
        <w:rPr>
          <w:rFonts w:ascii="Cambria" w:hAnsi="Cambria" w:cs="Cambria"/>
          <w:lang w:val="en-US"/>
        </w:rPr>
      </w:pPr>
    </w:p>
    <w:p w14:paraId="48D081A2" w14:textId="77777777" w:rsidR="005B31DC" w:rsidRDefault="00945C37">
      <w:pPr>
        <w:spacing w:after="160" w:line="259" w:lineRule="auto"/>
        <w:jc w:val="both"/>
        <w:rPr>
          <w:rFonts w:ascii="Cambria" w:hAnsi="Cambria" w:cs="Cambria"/>
          <w:lang w:val="en-US"/>
        </w:rPr>
      </w:pPr>
      <w:r>
        <w:rPr>
          <w:rFonts w:ascii="Cambria" w:hAnsi="Cambria" w:cs="Cambria"/>
          <w:lang w:val="en-US"/>
        </w:rPr>
        <w:br w:type="page"/>
      </w:r>
    </w:p>
    <w:p w14:paraId="0209F561" w14:textId="58DFE928" w:rsidR="005B31DC" w:rsidRDefault="00945C37">
      <w:pPr>
        <w:pStyle w:val="Heading1"/>
        <w:jc w:val="center"/>
        <w:rPr>
          <w:rFonts w:ascii="Cambria" w:hAnsi="Cambria" w:cs="Cambria"/>
          <w:lang w:val="en-US"/>
        </w:rPr>
      </w:pPr>
      <w:bookmarkStart w:id="40" w:name="_Toc19636"/>
      <w:bookmarkStart w:id="41" w:name="_Toc219283100"/>
      <w:bookmarkStart w:id="42" w:name="_Toc223979944"/>
      <w:r>
        <w:rPr>
          <w:rFonts w:ascii="Cambria" w:hAnsi="Cambria" w:cs="Cambria"/>
          <w:lang w:val="en-US"/>
        </w:rPr>
        <w:lastRenderedPageBreak/>
        <w:t xml:space="preserve">CHAPTER </w:t>
      </w:r>
      <w:bookmarkEnd w:id="40"/>
      <w:bookmarkEnd w:id="41"/>
      <w:r w:rsidR="00DE65B4">
        <w:rPr>
          <w:rFonts w:ascii="Cambria" w:hAnsi="Cambria" w:cs="Cambria"/>
          <w:lang w:val="en-US"/>
        </w:rPr>
        <w:t>4</w:t>
      </w:r>
      <w:bookmarkEnd w:id="42"/>
      <w:r>
        <w:rPr>
          <w:rFonts w:ascii="Cambria" w:hAnsi="Cambria" w:cs="Cambria"/>
          <w:lang w:val="en-US"/>
        </w:rPr>
        <w:t xml:space="preserve"> </w:t>
      </w:r>
    </w:p>
    <w:p w14:paraId="53172F54" w14:textId="223BB58E" w:rsidR="005B31DC" w:rsidRPr="003930A0" w:rsidRDefault="00945C37" w:rsidP="00DE65B4">
      <w:pPr>
        <w:pStyle w:val="Heading1"/>
        <w:numPr>
          <w:ilvl w:val="0"/>
          <w:numId w:val="1"/>
        </w:numPr>
        <w:rPr>
          <w:rFonts w:ascii="Cambria" w:hAnsi="Cambria" w:cs="Cambria"/>
          <w:b/>
          <w:bCs/>
          <w:lang w:val="en-US"/>
        </w:rPr>
      </w:pPr>
      <w:bookmarkStart w:id="43" w:name="_Toc7041"/>
      <w:bookmarkStart w:id="44" w:name="_Toc219283101"/>
      <w:bookmarkStart w:id="45" w:name="_Toc223979945"/>
      <w:r w:rsidRPr="003930A0">
        <w:rPr>
          <w:rFonts w:ascii="Cambria" w:hAnsi="Cambria" w:cs="Cambria"/>
          <w:b/>
          <w:bCs/>
        </w:rPr>
        <w:t>CONSULTATION GUIDELINES</w:t>
      </w:r>
      <w:bookmarkEnd w:id="43"/>
      <w:bookmarkEnd w:id="44"/>
      <w:bookmarkEnd w:id="45"/>
    </w:p>
    <w:p w14:paraId="3B7F7FFC" w14:textId="77777777" w:rsidR="005B31DC" w:rsidRDefault="005B31DC">
      <w:pPr>
        <w:rPr>
          <w:rFonts w:ascii="Cambria" w:hAnsi="Cambria" w:cs="Cambria"/>
          <w:lang w:val="en-US"/>
        </w:rPr>
      </w:pPr>
    </w:p>
    <w:p w14:paraId="255DC88E" w14:textId="212033C3" w:rsidR="005B31DC" w:rsidRDefault="00632A3D" w:rsidP="00A1313C">
      <w:pPr>
        <w:pStyle w:val="NoSpacing"/>
        <w:rPr>
          <w:rFonts w:ascii="Cambria" w:hAnsi="Cambria"/>
        </w:rPr>
      </w:pPr>
      <w:r w:rsidRPr="00A1313C">
        <w:rPr>
          <w:rFonts w:ascii="Cambria" w:hAnsi="Cambria"/>
        </w:rPr>
        <w:t>The Authority invites comments from stakeholders on the proposed national roaming wholesale rate framework.</w:t>
      </w:r>
    </w:p>
    <w:p w14:paraId="13986B0A" w14:textId="77777777" w:rsidR="00A1313C" w:rsidRPr="00A1313C" w:rsidRDefault="00A1313C" w:rsidP="00A1313C">
      <w:pPr>
        <w:pStyle w:val="NoSpacing"/>
        <w:rPr>
          <w:rFonts w:ascii="Cambria" w:hAnsi="Cambria"/>
        </w:rPr>
      </w:pPr>
    </w:p>
    <w:p w14:paraId="0C59076F" w14:textId="09BFE16D" w:rsidR="00A1313C" w:rsidRPr="00A1313C" w:rsidRDefault="00A1313C" w:rsidP="002866FA">
      <w:pPr>
        <w:pStyle w:val="Heading2"/>
        <w:numPr>
          <w:ilvl w:val="0"/>
          <w:numId w:val="19"/>
        </w:numPr>
        <w:spacing w:line="360" w:lineRule="auto"/>
        <w:ind w:left="426" w:hanging="426"/>
        <w:rPr>
          <w:rFonts w:ascii="Cambria" w:hAnsi="Cambria"/>
          <w:sz w:val="24"/>
          <w:szCs w:val="24"/>
        </w:rPr>
      </w:pPr>
      <w:bookmarkStart w:id="46" w:name="_Toc223979946"/>
      <w:r w:rsidRPr="00A1313C">
        <w:rPr>
          <w:rFonts w:ascii="Cambria" w:hAnsi="Cambria"/>
          <w:sz w:val="24"/>
          <w:szCs w:val="24"/>
        </w:rPr>
        <w:t>Consultation Questions</w:t>
      </w:r>
      <w:bookmarkEnd w:id="46"/>
    </w:p>
    <w:p w14:paraId="4E7EF57B" w14:textId="77777777" w:rsidR="00A1313C" w:rsidRPr="00A1313C" w:rsidRDefault="00A1313C" w:rsidP="00A1313C">
      <w:pPr>
        <w:pStyle w:val="NoSpacing"/>
        <w:rPr>
          <w:rFonts w:ascii="Cambria" w:hAnsi="Cambria"/>
        </w:rPr>
      </w:pPr>
      <w:r w:rsidRPr="00A1313C">
        <w:rPr>
          <w:rFonts w:ascii="Cambria" w:hAnsi="Cambria"/>
        </w:rPr>
        <w:t>Stakeholders are invited to provide views on the following:</w:t>
      </w:r>
    </w:p>
    <w:p w14:paraId="779C4673" w14:textId="77777777" w:rsidR="00A1313C" w:rsidRPr="00A1313C" w:rsidRDefault="00A1313C" w:rsidP="002866FA">
      <w:pPr>
        <w:pStyle w:val="NoSpacing"/>
        <w:numPr>
          <w:ilvl w:val="0"/>
          <w:numId w:val="20"/>
        </w:numPr>
        <w:rPr>
          <w:rFonts w:ascii="Cambria" w:hAnsi="Cambria"/>
        </w:rPr>
      </w:pPr>
      <w:r w:rsidRPr="00A1313C">
        <w:rPr>
          <w:rFonts w:ascii="Cambria" w:hAnsi="Cambria"/>
        </w:rPr>
        <w:t>Do stakeholders agree with the Authority’s proposal to introduce benchmark wholesale rates for national roaming services?</w:t>
      </w:r>
    </w:p>
    <w:p w14:paraId="414790A7" w14:textId="77777777" w:rsidR="00A1313C" w:rsidRPr="00A1313C" w:rsidRDefault="00A1313C" w:rsidP="002866FA">
      <w:pPr>
        <w:pStyle w:val="NoSpacing"/>
        <w:numPr>
          <w:ilvl w:val="0"/>
          <w:numId w:val="20"/>
        </w:numPr>
        <w:rPr>
          <w:rFonts w:ascii="Cambria" w:hAnsi="Cambria"/>
        </w:rPr>
      </w:pPr>
      <w:r w:rsidRPr="00A1313C">
        <w:rPr>
          <w:rFonts w:ascii="Cambria" w:hAnsi="Cambria"/>
        </w:rPr>
        <w:t>Is the analytical methodology used by the Authority appropriate?</w:t>
      </w:r>
    </w:p>
    <w:p w14:paraId="71853FA4" w14:textId="77777777" w:rsidR="00A1313C" w:rsidRPr="00A1313C" w:rsidRDefault="00A1313C" w:rsidP="002866FA">
      <w:pPr>
        <w:pStyle w:val="NoSpacing"/>
        <w:numPr>
          <w:ilvl w:val="0"/>
          <w:numId w:val="20"/>
        </w:numPr>
        <w:rPr>
          <w:rFonts w:ascii="Cambria" w:hAnsi="Cambria"/>
        </w:rPr>
      </w:pPr>
      <w:r w:rsidRPr="00A1313C">
        <w:rPr>
          <w:rFonts w:ascii="Cambria" w:hAnsi="Cambria"/>
        </w:rPr>
        <w:t>Are the proposed wholesale rates reasonable in relation to prevailing retail tariffs and existing bilateral roaming agreements?</w:t>
      </w:r>
    </w:p>
    <w:p w14:paraId="1FE762C7" w14:textId="77777777" w:rsidR="00A1313C" w:rsidRPr="00A1313C" w:rsidRDefault="00A1313C" w:rsidP="002866FA">
      <w:pPr>
        <w:pStyle w:val="NoSpacing"/>
        <w:numPr>
          <w:ilvl w:val="0"/>
          <w:numId w:val="20"/>
        </w:numPr>
        <w:rPr>
          <w:rFonts w:ascii="Cambria" w:hAnsi="Cambria"/>
        </w:rPr>
      </w:pPr>
      <w:r w:rsidRPr="00A1313C">
        <w:rPr>
          <w:rFonts w:ascii="Cambria" w:hAnsi="Cambria"/>
        </w:rPr>
        <w:t>Should additional services be included within the national roaming framework?</w:t>
      </w:r>
    </w:p>
    <w:p w14:paraId="0AC52ADD" w14:textId="77777777" w:rsidR="00A1313C" w:rsidRPr="00A1313C" w:rsidRDefault="00A1313C" w:rsidP="002866FA">
      <w:pPr>
        <w:pStyle w:val="NoSpacing"/>
        <w:numPr>
          <w:ilvl w:val="0"/>
          <w:numId w:val="20"/>
        </w:numPr>
        <w:rPr>
          <w:rFonts w:ascii="Cambria" w:hAnsi="Cambria"/>
        </w:rPr>
      </w:pPr>
      <w:r w:rsidRPr="00A1313C">
        <w:rPr>
          <w:rFonts w:ascii="Cambria" w:hAnsi="Cambria"/>
        </w:rPr>
        <w:t>What implementation timeline would be appropriate for migrating existing agreements to the regulated framework?</w:t>
      </w:r>
    </w:p>
    <w:p w14:paraId="490A0719" w14:textId="77777777" w:rsidR="00A1313C" w:rsidRDefault="00A1313C" w:rsidP="002866FA">
      <w:pPr>
        <w:pStyle w:val="NoSpacing"/>
        <w:numPr>
          <w:ilvl w:val="0"/>
          <w:numId w:val="20"/>
        </w:numPr>
        <w:rPr>
          <w:rFonts w:ascii="Cambria" w:hAnsi="Cambria"/>
        </w:rPr>
      </w:pPr>
      <w:r w:rsidRPr="00A1313C">
        <w:rPr>
          <w:rFonts w:ascii="Cambria" w:hAnsi="Cambria"/>
        </w:rPr>
        <w:t>Are additional safeguards required to prevent anti-competitive conduct?</w:t>
      </w:r>
    </w:p>
    <w:p w14:paraId="7343E6A5" w14:textId="77777777" w:rsidR="00A1313C" w:rsidRPr="00A1313C" w:rsidRDefault="00A1313C" w:rsidP="00A1313C">
      <w:pPr>
        <w:pStyle w:val="NoSpacing"/>
        <w:ind w:left="720"/>
        <w:rPr>
          <w:rFonts w:ascii="Cambria" w:hAnsi="Cambria"/>
        </w:rPr>
      </w:pPr>
    </w:p>
    <w:p w14:paraId="60562075" w14:textId="49C6E19B" w:rsidR="00A1313C" w:rsidRPr="00A1313C" w:rsidRDefault="00A1313C" w:rsidP="002866FA">
      <w:pPr>
        <w:pStyle w:val="Heading2"/>
        <w:numPr>
          <w:ilvl w:val="0"/>
          <w:numId w:val="19"/>
        </w:numPr>
        <w:spacing w:line="360" w:lineRule="auto"/>
        <w:ind w:left="426" w:hanging="426"/>
        <w:rPr>
          <w:rFonts w:ascii="Cambria" w:hAnsi="Cambria"/>
          <w:sz w:val="24"/>
          <w:szCs w:val="24"/>
        </w:rPr>
      </w:pPr>
      <w:bookmarkStart w:id="47" w:name="_Toc223979947"/>
      <w:r w:rsidRPr="00A1313C">
        <w:rPr>
          <w:rFonts w:ascii="Cambria" w:hAnsi="Cambria"/>
          <w:sz w:val="24"/>
          <w:szCs w:val="24"/>
        </w:rPr>
        <w:t>Consultation Timeline</w:t>
      </w:r>
      <w:bookmarkEnd w:id="47"/>
    </w:p>
    <w:tbl>
      <w:tblPr>
        <w:tblStyle w:val="TableGrid"/>
        <w:tblW w:w="0" w:type="auto"/>
        <w:tblLook w:val="04A0" w:firstRow="1" w:lastRow="0" w:firstColumn="1" w:lastColumn="0" w:noHBand="0" w:noVBand="1"/>
      </w:tblPr>
      <w:tblGrid>
        <w:gridCol w:w="3916"/>
        <w:gridCol w:w="3955"/>
      </w:tblGrid>
      <w:tr w:rsidR="00A1313C" w14:paraId="083B4959" w14:textId="77777777" w:rsidTr="00A1313C">
        <w:tc>
          <w:tcPr>
            <w:tcW w:w="0" w:type="auto"/>
            <w:hideMark/>
          </w:tcPr>
          <w:p w14:paraId="63280424" w14:textId="77777777" w:rsidR="00A1313C" w:rsidRDefault="00A1313C">
            <w:pPr>
              <w:jc w:val="center"/>
              <w:rPr>
                <w:b/>
                <w:bCs/>
              </w:rPr>
            </w:pPr>
            <w:r>
              <w:rPr>
                <w:b/>
                <w:bCs/>
              </w:rPr>
              <w:t>Activity</w:t>
            </w:r>
          </w:p>
        </w:tc>
        <w:tc>
          <w:tcPr>
            <w:tcW w:w="0" w:type="auto"/>
            <w:hideMark/>
          </w:tcPr>
          <w:p w14:paraId="1133B88A" w14:textId="77777777" w:rsidR="00A1313C" w:rsidRDefault="00A1313C">
            <w:pPr>
              <w:jc w:val="center"/>
              <w:rPr>
                <w:b/>
                <w:bCs/>
              </w:rPr>
            </w:pPr>
            <w:r>
              <w:rPr>
                <w:b/>
                <w:bCs/>
              </w:rPr>
              <w:t>Timeline</w:t>
            </w:r>
          </w:p>
        </w:tc>
      </w:tr>
      <w:tr w:rsidR="00A1313C" w14:paraId="4485063A" w14:textId="77777777" w:rsidTr="00A1313C">
        <w:tc>
          <w:tcPr>
            <w:tcW w:w="0" w:type="auto"/>
            <w:hideMark/>
          </w:tcPr>
          <w:p w14:paraId="65798C2F" w14:textId="77777777" w:rsidR="00A1313C" w:rsidRDefault="00A1313C">
            <w:r>
              <w:t>Publication of Consultation Document</w:t>
            </w:r>
          </w:p>
        </w:tc>
        <w:tc>
          <w:tcPr>
            <w:tcW w:w="0" w:type="auto"/>
            <w:hideMark/>
          </w:tcPr>
          <w:p w14:paraId="0303D167" w14:textId="77777777" w:rsidR="00A1313C" w:rsidRDefault="00A1313C">
            <w:r>
              <w:t>March 2026</w:t>
            </w:r>
          </w:p>
        </w:tc>
      </w:tr>
      <w:tr w:rsidR="00A1313C" w14:paraId="50EE8136" w14:textId="77777777" w:rsidTr="00A1313C">
        <w:tc>
          <w:tcPr>
            <w:tcW w:w="0" w:type="auto"/>
            <w:hideMark/>
          </w:tcPr>
          <w:p w14:paraId="3E4CC68D" w14:textId="77777777" w:rsidR="00A1313C" w:rsidRDefault="00A1313C">
            <w:r>
              <w:t>Submission of Written Comments</w:t>
            </w:r>
          </w:p>
        </w:tc>
        <w:tc>
          <w:tcPr>
            <w:tcW w:w="0" w:type="auto"/>
            <w:hideMark/>
          </w:tcPr>
          <w:p w14:paraId="2269D3C9" w14:textId="77777777" w:rsidR="00A1313C" w:rsidRDefault="00A1313C">
            <w:r>
              <w:t>Within 30 days</w:t>
            </w:r>
          </w:p>
        </w:tc>
      </w:tr>
      <w:tr w:rsidR="00A1313C" w14:paraId="252217F8" w14:textId="77777777" w:rsidTr="00A1313C">
        <w:tc>
          <w:tcPr>
            <w:tcW w:w="0" w:type="auto"/>
            <w:hideMark/>
          </w:tcPr>
          <w:p w14:paraId="68DFE17C" w14:textId="77777777" w:rsidR="00A1313C" w:rsidRDefault="00A1313C">
            <w:r>
              <w:t>Stakeholder Engagement Session</w:t>
            </w:r>
          </w:p>
        </w:tc>
        <w:tc>
          <w:tcPr>
            <w:tcW w:w="0" w:type="auto"/>
            <w:hideMark/>
          </w:tcPr>
          <w:p w14:paraId="6FDA4F53" w14:textId="77777777" w:rsidR="00A1313C" w:rsidRDefault="00A1313C">
            <w:r>
              <w:t>Within 45 days</w:t>
            </w:r>
          </w:p>
        </w:tc>
      </w:tr>
      <w:tr w:rsidR="00A1313C" w14:paraId="1C6ECF73" w14:textId="77777777" w:rsidTr="00A1313C">
        <w:tc>
          <w:tcPr>
            <w:tcW w:w="0" w:type="auto"/>
            <w:hideMark/>
          </w:tcPr>
          <w:p w14:paraId="27FE3F77" w14:textId="77777777" w:rsidR="00A1313C" w:rsidRDefault="00A1313C">
            <w:r>
              <w:t>Review of Submissions</w:t>
            </w:r>
          </w:p>
        </w:tc>
        <w:tc>
          <w:tcPr>
            <w:tcW w:w="0" w:type="auto"/>
            <w:hideMark/>
          </w:tcPr>
          <w:p w14:paraId="5FD57ED0" w14:textId="77777777" w:rsidR="00A1313C" w:rsidRDefault="00A1313C">
            <w:r>
              <w:t>Within 60 days</w:t>
            </w:r>
          </w:p>
        </w:tc>
      </w:tr>
      <w:tr w:rsidR="00A1313C" w14:paraId="1F3D9790" w14:textId="77777777" w:rsidTr="00A1313C">
        <w:tc>
          <w:tcPr>
            <w:tcW w:w="0" w:type="auto"/>
            <w:hideMark/>
          </w:tcPr>
          <w:p w14:paraId="6219391B" w14:textId="77777777" w:rsidR="00A1313C" w:rsidRDefault="00A1313C">
            <w:r>
              <w:t>Publication of Final Framework</w:t>
            </w:r>
          </w:p>
        </w:tc>
        <w:tc>
          <w:tcPr>
            <w:tcW w:w="0" w:type="auto"/>
            <w:hideMark/>
          </w:tcPr>
          <w:p w14:paraId="7CB0A1D6" w14:textId="7F6A5917" w:rsidR="00A1313C" w:rsidRDefault="00A1313C">
            <w:r>
              <w:t>To be determined after Board approval</w:t>
            </w:r>
          </w:p>
        </w:tc>
      </w:tr>
    </w:tbl>
    <w:p w14:paraId="047CA0E5" w14:textId="77777777" w:rsidR="00B40D07" w:rsidRDefault="00B40D07">
      <w:pPr>
        <w:spacing w:after="160" w:line="480" w:lineRule="auto"/>
        <w:jc w:val="both"/>
        <w:rPr>
          <w:rFonts w:ascii="Cambria" w:hAnsi="Cambria" w:cs="Cambria"/>
          <w:lang w:val="en-US"/>
        </w:rPr>
      </w:pPr>
    </w:p>
    <w:p w14:paraId="672578E1" w14:textId="77777777" w:rsidR="003930A0" w:rsidRDefault="003930A0">
      <w:pPr>
        <w:rPr>
          <w:b/>
          <w:bCs/>
          <w:color w:val="000000"/>
          <w:kern w:val="36"/>
          <w:sz w:val="48"/>
          <w:szCs w:val="48"/>
        </w:rPr>
      </w:pPr>
      <w:r>
        <w:rPr>
          <w:b/>
          <w:bCs/>
          <w:color w:val="000000"/>
          <w:kern w:val="36"/>
          <w:sz w:val="48"/>
          <w:szCs w:val="48"/>
        </w:rPr>
        <w:br w:type="page"/>
      </w:r>
    </w:p>
    <w:p w14:paraId="7F411F0D" w14:textId="4AA31006" w:rsidR="003930A0" w:rsidRPr="003930A0" w:rsidRDefault="003930A0" w:rsidP="003930A0">
      <w:pPr>
        <w:pStyle w:val="Heading1"/>
        <w:ind w:left="492"/>
        <w:jc w:val="center"/>
        <w:rPr>
          <w:rFonts w:ascii="Cambria" w:hAnsi="Cambria" w:cs="Cambria"/>
          <w:b/>
          <w:bCs/>
        </w:rPr>
      </w:pPr>
      <w:bookmarkStart w:id="48" w:name="_Toc223979948"/>
      <w:r w:rsidRPr="003930A0">
        <w:rPr>
          <w:rFonts w:ascii="Cambria" w:hAnsi="Cambria" w:cs="Cambria"/>
          <w:b/>
          <w:bCs/>
        </w:rPr>
        <w:lastRenderedPageBreak/>
        <w:t>ANNEX 1</w:t>
      </w:r>
      <w:bookmarkEnd w:id="48"/>
    </w:p>
    <w:p w14:paraId="00513508" w14:textId="77777777" w:rsidR="003930A0" w:rsidRPr="003930A0" w:rsidRDefault="003930A0" w:rsidP="003930A0">
      <w:pPr>
        <w:pStyle w:val="Heading1"/>
        <w:jc w:val="center"/>
        <w:rPr>
          <w:rFonts w:ascii="Cambria" w:hAnsi="Cambria" w:cs="Cambria"/>
          <w:b/>
          <w:bCs/>
          <w:sz w:val="28"/>
          <w:szCs w:val="28"/>
        </w:rPr>
      </w:pPr>
      <w:bookmarkStart w:id="49" w:name="_Toc223979949"/>
      <w:r w:rsidRPr="003930A0">
        <w:rPr>
          <w:rFonts w:ascii="Cambria" w:hAnsi="Cambria" w:cs="Cambria"/>
          <w:b/>
          <w:bCs/>
          <w:sz w:val="28"/>
          <w:szCs w:val="28"/>
        </w:rPr>
        <w:t>CONSULTATION RESPONSE TEMPLATE</w:t>
      </w:r>
      <w:bookmarkEnd w:id="49"/>
    </w:p>
    <w:p w14:paraId="466C2F53" w14:textId="77777777" w:rsidR="003930A0" w:rsidRPr="003930A0" w:rsidRDefault="003930A0" w:rsidP="003930A0">
      <w:pPr>
        <w:pStyle w:val="NoSpacing"/>
        <w:rPr>
          <w:rFonts w:ascii="Cambria" w:hAnsi="Cambria"/>
        </w:rPr>
      </w:pPr>
      <w:r w:rsidRPr="003930A0">
        <w:rPr>
          <w:rFonts w:ascii="Cambria" w:hAnsi="Cambria"/>
        </w:rPr>
        <w:t>Stakeholders are encouraged to use the template below when submitting comments on the Draft Framework for Regulating National Roaming Wholesale Rates.</w:t>
      </w:r>
    </w:p>
    <w:p w14:paraId="4655976E" w14:textId="77777777" w:rsidR="003930A0" w:rsidRDefault="003930A0" w:rsidP="003930A0">
      <w:pPr>
        <w:pStyle w:val="NoSpacing"/>
        <w:rPr>
          <w:rFonts w:ascii="Cambria" w:hAnsi="Cambria"/>
        </w:rPr>
      </w:pPr>
    </w:p>
    <w:p w14:paraId="3F605E91" w14:textId="6FA27453" w:rsidR="003930A0" w:rsidRPr="003930A0" w:rsidRDefault="003930A0" w:rsidP="003930A0">
      <w:pPr>
        <w:pStyle w:val="NoSpacing"/>
        <w:rPr>
          <w:rFonts w:ascii="Cambria" w:hAnsi="Cambria"/>
        </w:rPr>
      </w:pPr>
      <w:r w:rsidRPr="003930A0">
        <w:rPr>
          <w:rFonts w:ascii="Cambria" w:hAnsi="Cambria"/>
        </w:rPr>
        <w:t>Respondents may reproduce the table in their submission and provide responses to the consultation questions or other relevant sections of the document.</w:t>
      </w:r>
    </w:p>
    <w:p w14:paraId="6128C544" w14:textId="77777777" w:rsidR="003930A0" w:rsidRDefault="003930A0" w:rsidP="003930A0">
      <w:pPr>
        <w:pStyle w:val="NoSpacing"/>
        <w:rPr>
          <w:rFonts w:ascii="Cambria" w:hAnsi="Cambria"/>
        </w:rPr>
      </w:pPr>
    </w:p>
    <w:p w14:paraId="6F18B99D" w14:textId="5C9F2A5B" w:rsidR="003930A0" w:rsidRPr="003930A0" w:rsidRDefault="003930A0" w:rsidP="003930A0">
      <w:pPr>
        <w:pStyle w:val="NoSpacing"/>
        <w:rPr>
          <w:rFonts w:ascii="Cambria" w:hAnsi="Cambria"/>
        </w:rPr>
      </w:pPr>
      <w:r w:rsidRPr="003930A0">
        <w:rPr>
          <w:rFonts w:ascii="Cambria" w:hAnsi="Cambria"/>
        </w:rPr>
        <w:t>Stakeholders may also attach additional documents where necessary to provide further analysis or supporting evidence.</w:t>
      </w:r>
    </w:p>
    <w:p w14:paraId="2295AD2E" w14:textId="5369CEC0" w:rsidR="003930A0" w:rsidRPr="003930A0" w:rsidRDefault="003930A0" w:rsidP="003930A0"/>
    <w:p w14:paraId="63217BD3" w14:textId="77777777" w:rsidR="003930A0" w:rsidRPr="003930A0" w:rsidRDefault="003930A0" w:rsidP="003930A0">
      <w:pPr>
        <w:pStyle w:val="Heading2"/>
        <w:spacing w:line="360" w:lineRule="auto"/>
        <w:rPr>
          <w:rFonts w:ascii="Cambria" w:hAnsi="Cambria" w:cs="Cambria"/>
          <w:b/>
          <w:bCs/>
          <w:sz w:val="24"/>
          <w:szCs w:val="24"/>
        </w:rPr>
      </w:pPr>
      <w:bookmarkStart w:id="50" w:name="_Toc223979950"/>
      <w:r w:rsidRPr="003930A0">
        <w:rPr>
          <w:rFonts w:ascii="Cambria" w:hAnsi="Cambria" w:cs="Cambria"/>
          <w:b/>
          <w:bCs/>
          <w:sz w:val="24"/>
          <w:szCs w:val="24"/>
        </w:rPr>
        <w:t>Respondent Information</w:t>
      </w:r>
      <w:bookmarkEnd w:id="50"/>
    </w:p>
    <w:tbl>
      <w:tblPr>
        <w:tblStyle w:val="TableGrid"/>
        <w:tblW w:w="0" w:type="auto"/>
        <w:tblLook w:val="04A0" w:firstRow="1" w:lastRow="0" w:firstColumn="1" w:lastColumn="0" w:noHBand="0" w:noVBand="1"/>
      </w:tblPr>
      <w:tblGrid>
        <w:gridCol w:w="2349"/>
        <w:gridCol w:w="5650"/>
      </w:tblGrid>
      <w:tr w:rsidR="003930A0" w:rsidRPr="006C59D4" w14:paraId="45266E55" w14:textId="77777777" w:rsidTr="003930A0">
        <w:tc>
          <w:tcPr>
            <w:tcW w:w="0" w:type="auto"/>
            <w:hideMark/>
          </w:tcPr>
          <w:p w14:paraId="16983DBF" w14:textId="77777777" w:rsidR="003930A0" w:rsidRPr="003930A0" w:rsidRDefault="003930A0" w:rsidP="006C59D4">
            <w:pPr>
              <w:pStyle w:val="NoSpacing"/>
              <w:rPr>
                <w:rFonts w:ascii="Cambria" w:hAnsi="Cambria"/>
              </w:rPr>
            </w:pPr>
            <w:r w:rsidRPr="003930A0">
              <w:rPr>
                <w:rFonts w:ascii="Cambria" w:hAnsi="Cambria"/>
              </w:rPr>
              <w:t>Item</w:t>
            </w:r>
          </w:p>
        </w:tc>
        <w:tc>
          <w:tcPr>
            <w:tcW w:w="5650" w:type="dxa"/>
            <w:hideMark/>
          </w:tcPr>
          <w:p w14:paraId="69859809" w14:textId="77777777" w:rsidR="003930A0" w:rsidRPr="003930A0" w:rsidRDefault="003930A0" w:rsidP="006C59D4">
            <w:pPr>
              <w:pStyle w:val="NoSpacing"/>
              <w:rPr>
                <w:rFonts w:ascii="Cambria" w:hAnsi="Cambria"/>
              </w:rPr>
            </w:pPr>
            <w:r w:rsidRPr="003930A0">
              <w:rPr>
                <w:rFonts w:ascii="Cambria" w:hAnsi="Cambria"/>
              </w:rPr>
              <w:t>Details</w:t>
            </w:r>
          </w:p>
        </w:tc>
      </w:tr>
      <w:tr w:rsidR="003930A0" w:rsidRPr="006C59D4" w14:paraId="5980ABDD" w14:textId="77777777" w:rsidTr="003930A0">
        <w:tc>
          <w:tcPr>
            <w:tcW w:w="0" w:type="auto"/>
            <w:hideMark/>
          </w:tcPr>
          <w:p w14:paraId="6E637D48" w14:textId="77777777" w:rsidR="003930A0" w:rsidRPr="003930A0" w:rsidRDefault="003930A0" w:rsidP="006C59D4">
            <w:pPr>
              <w:pStyle w:val="NoSpacing"/>
              <w:rPr>
                <w:rFonts w:ascii="Cambria" w:hAnsi="Cambria"/>
              </w:rPr>
            </w:pPr>
            <w:r w:rsidRPr="003930A0">
              <w:rPr>
                <w:rFonts w:ascii="Cambria" w:hAnsi="Cambria"/>
              </w:rPr>
              <w:t>Name of Respondent</w:t>
            </w:r>
          </w:p>
        </w:tc>
        <w:tc>
          <w:tcPr>
            <w:tcW w:w="5650" w:type="dxa"/>
            <w:hideMark/>
          </w:tcPr>
          <w:p w14:paraId="79CA1B27" w14:textId="77777777" w:rsidR="003930A0" w:rsidRPr="003930A0" w:rsidRDefault="003930A0" w:rsidP="006C59D4">
            <w:pPr>
              <w:pStyle w:val="NoSpacing"/>
              <w:rPr>
                <w:rFonts w:ascii="Cambria" w:hAnsi="Cambria"/>
              </w:rPr>
            </w:pPr>
          </w:p>
        </w:tc>
      </w:tr>
      <w:tr w:rsidR="003930A0" w:rsidRPr="006C59D4" w14:paraId="33E8EE83" w14:textId="77777777" w:rsidTr="003930A0">
        <w:tc>
          <w:tcPr>
            <w:tcW w:w="0" w:type="auto"/>
            <w:hideMark/>
          </w:tcPr>
          <w:p w14:paraId="384E3180" w14:textId="77777777" w:rsidR="003930A0" w:rsidRPr="003930A0" w:rsidRDefault="003930A0" w:rsidP="006C59D4">
            <w:pPr>
              <w:pStyle w:val="NoSpacing"/>
              <w:rPr>
                <w:rFonts w:ascii="Cambria" w:hAnsi="Cambria"/>
              </w:rPr>
            </w:pPr>
            <w:r w:rsidRPr="003930A0">
              <w:rPr>
                <w:rFonts w:ascii="Cambria" w:hAnsi="Cambria"/>
              </w:rPr>
              <w:t>Organisation</w:t>
            </w:r>
          </w:p>
        </w:tc>
        <w:tc>
          <w:tcPr>
            <w:tcW w:w="5650" w:type="dxa"/>
            <w:hideMark/>
          </w:tcPr>
          <w:p w14:paraId="2ACDCAC7" w14:textId="77777777" w:rsidR="003930A0" w:rsidRPr="003930A0" w:rsidRDefault="003930A0" w:rsidP="006C59D4">
            <w:pPr>
              <w:pStyle w:val="NoSpacing"/>
              <w:rPr>
                <w:rFonts w:ascii="Cambria" w:hAnsi="Cambria"/>
              </w:rPr>
            </w:pPr>
          </w:p>
        </w:tc>
      </w:tr>
      <w:tr w:rsidR="003930A0" w:rsidRPr="006C59D4" w14:paraId="3AFEDCB3" w14:textId="77777777" w:rsidTr="003930A0">
        <w:tc>
          <w:tcPr>
            <w:tcW w:w="0" w:type="auto"/>
            <w:hideMark/>
          </w:tcPr>
          <w:p w14:paraId="0A12F69A" w14:textId="77777777" w:rsidR="003930A0" w:rsidRPr="003930A0" w:rsidRDefault="003930A0" w:rsidP="006C59D4">
            <w:pPr>
              <w:pStyle w:val="NoSpacing"/>
              <w:rPr>
                <w:rFonts w:ascii="Cambria" w:hAnsi="Cambria"/>
              </w:rPr>
            </w:pPr>
            <w:r w:rsidRPr="003930A0">
              <w:rPr>
                <w:rFonts w:ascii="Cambria" w:hAnsi="Cambria"/>
              </w:rPr>
              <w:t>Contact Person</w:t>
            </w:r>
          </w:p>
        </w:tc>
        <w:tc>
          <w:tcPr>
            <w:tcW w:w="5650" w:type="dxa"/>
            <w:hideMark/>
          </w:tcPr>
          <w:p w14:paraId="148B31B6" w14:textId="77777777" w:rsidR="003930A0" w:rsidRPr="003930A0" w:rsidRDefault="003930A0" w:rsidP="006C59D4">
            <w:pPr>
              <w:pStyle w:val="NoSpacing"/>
              <w:rPr>
                <w:rFonts w:ascii="Cambria" w:hAnsi="Cambria"/>
              </w:rPr>
            </w:pPr>
          </w:p>
        </w:tc>
      </w:tr>
      <w:tr w:rsidR="003930A0" w:rsidRPr="006C59D4" w14:paraId="24864863" w14:textId="77777777" w:rsidTr="003930A0">
        <w:tc>
          <w:tcPr>
            <w:tcW w:w="0" w:type="auto"/>
            <w:hideMark/>
          </w:tcPr>
          <w:p w14:paraId="5E6580BD" w14:textId="77777777" w:rsidR="003930A0" w:rsidRPr="003930A0" w:rsidRDefault="003930A0" w:rsidP="006C59D4">
            <w:pPr>
              <w:pStyle w:val="NoSpacing"/>
              <w:rPr>
                <w:rFonts w:ascii="Cambria" w:hAnsi="Cambria"/>
              </w:rPr>
            </w:pPr>
            <w:r w:rsidRPr="003930A0">
              <w:rPr>
                <w:rFonts w:ascii="Cambria" w:hAnsi="Cambria"/>
              </w:rPr>
              <w:t>Position/Title</w:t>
            </w:r>
          </w:p>
        </w:tc>
        <w:tc>
          <w:tcPr>
            <w:tcW w:w="5650" w:type="dxa"/>
            <w:hideMark/>
          </w:tcPr>
          <w:p w14:paraId="7708B7F6" w14:textId="77777777" w:rsidR="003930A0" w:rsidRPr="003930A0" w:rsidRDefault="003930A0" w:rsidP="006C59D4">
            <w:pPr>
              <w:pStyle w:val="NoSpacing"/>
              <w:rPr>
                <w:rFonts w:ascii="Cambria" w:hAnsi="Cambria"/>
              </w:rPr>
            </w:pPr>
          </w:p>
        </w:tc>
      </w:tr>
      <w:tr w:rsidR="003930A0" w:rsidRPr="006C59D4" w14:paraId="0037C48D" w14:textId="77777777" w:rsidTr="003930A0">
        <w:tc>
          <w:tcPr>
            <w:tcW w:w="0" w:type="auto"/>
            <w:hideMark/>
          </w:tcPr>
          <w:p w14:paraId="4E93C6B8" w14:textId="77777777" w:rsidR="003930A0" w:rsidRPr="003930A0" w:rsidRDefault="003930A0" w:rsidP="006C59D4">
            <w:pPr>
              <w:pStyle w:val="NoSpacing"/>
              <w:rPr>
                <w:rFonts w:ascii="Cambria" w:hAnsi="Cambria"/>
              </w:rPr>
            </w:pPr>
            <w:r w:rsidRPr="003930A0">
              <w:rPr>
                <w:rFonts w:ascii="Cambria" w:hAnsi="Cambria"/>
              </w:rPr>
              <w:t>Email Address</w:t>
            </w:r>
          </w:p>
        </w:tc>
        <w:tc>
          <w:tcPr>
            <w:tcW w:w="5650" w:type="dxa"/>
            <w:hideMark/>
          </w:tcPr>
          <w:p w14:paraId="163B68FF" w14:textId="77777777" w:rsidR="003930A0" w:rsidRPr="003930A0" w:rsidRDefault="003930A0" w:rsidP="006C59D4">
            <w:pPr>
              <w:pStyle w:val="NoSpacing"/>
              <w:rPr>
                <w:rFonts w:ascii="Cambria" w:hAnsi="Cambria"/>
              </w:rPr>
            </w:pPr>
          </w:p>
        </w:tc>
      </w:tr>
      <w:tr w:rsidR="003930A0" w:rsidRPr="006C59D4" w14:paraId="2FA67E5C" w14:textId="77777777" w:rsidTr="003930A0">
        <w:tc>
          <w:tcPr>
            <w:tcW w:w="0" w:type="auto"/>
            <w:hideMark/>
          </w:tcPr>
          <w:p w14:paraId="767BF464" w14:textId="77777777" w:rsidR="003930A0" w:rsidRPr="003930A0" w:rsidRDefault="003930A0" w:rsidP="006C59D4">
            <w:pPr>
              <w:pStyle w:val="NoSpacing"/>
              <w:rPr>
                <w:rFonts w:ascii="Cambria" w:hAnsi="Cambria"/>
              </w:rPr>
            </w:pPr>
            <w:r w:rsidRPr="003930A0">
              <w:rPr>
                <w:rFonts w:ascii="Cambria" w:hAnsi="Cambria"/>
              </w:rPr>
              <w:t>Telephone Number</w:t>
            </w:r>
          </w:p>
        </w:tc>
        <w:tc>
          <w:tcPr>
            <w:tcW w:w="5650" w:type="dxa"/>
            <w:hideMark/>
          </w:tcPr>
          <w:p w14:paraId="0C5B8FC0" w14:textId="77777777" w:rsidR="003930A0" w:rsidRPr="003930A0" w:rsidRDefault="003930A0" w:rsidP="006C59D4">
            <w:pPr>
              <w:pStyle w:val="NoSpacing"/>
              <w:rPr>
                <w:rFonts w:ascii="Cambria" w:hAnsi="Cambria"/>
              </w:rPr>
            </w:pPr>
          </w:p>
        </w:tc>
      </w:tr>
      <w:tr w:rsidR="003930A0" w:rsidRPr="006C59D4" w14:paraId="52EC79CD" w14:textId="77777777" w:rsidTr="003930A0">
        <w:tc>
          <w:tcPr>
            <w:tcW w:w="0" w:type="auto"/>
            <w:hideMark/>
          </w:tcPr>
          <w:p w14:paraId="214A5F73" w14:textId="77777777" w:rsidR="003930A0" w:rsidRPr="003930A0" w:rsidRDefault="003930A0" w:rsidP="006C59D4">
            <w:pPr>
              <w:pStyle w:val="NoSpacing"/>
              <w:rPr>
                <w:rFonts w:ascii="Cambria" w:hAnsi="Cambria"/>
              </w:rPr>
            </w:pPr>
            <w:r w:rsidRPr="003930A0">
              <w:rPr>
                <w:rFonts w:ascii="Cambria" w:hAnsi="Cambria"/>
              </w:rPr>
              <w:t>Date of Submission</w:t>
            </w:r>
          </w:p>
        </w:tc>
        <w:tc>
          <w:tcPr>
            <w:tcW w:w="5650" w:type="dxa"/>
            <w:hideMark/>
          </w:tcPr>
          <w:p w14:paraId="3D3C71F4" w14:textId="77777777" w:rsidR="003930A0" w:rsidRPr="003930A0" w:rsidRDefault="003930A0" w:rsidP="006C59D4">
            <w:pPr>
              <w:pStyle w:val="NoSpacing"/>
              <w:rPr>
                <w:rFonts w:ascii="Cambria" w:hAnsi="Cambria"/>
              </w:rPr>
            </w:pPr>
          </w:p>
        </w:tc>
      </w:tr>
    </w:tbl>
    <w:p w14:paraId="55099758" w14:textId="1D2D6EA0" w:rsidR="003930A0" w:rsidRPr="003930A0" w:rsidRDefault="003930A0" w:rsidP="006C59D4">
      <w:pPr>
        <w:pStyle w:val="NoSpacing"/>
        <w:rPr>
          <w:rFonts w:ascii="Cambria" w:hAnsi="Cambria"/>
        </w:rPr>
      </w:pPr>
    </w:p>
    <w:p w14:paraId="763C3E60" w14:textId="77777777" w:rsidR="003930A0" w:rsidRDefault="003930A0" w:rsidP="003930A0">
      <w:pPr>
        <w:pStyle w:val="Heading2"/>
        <w:spacing w:line="360" w:lineRule="auto"/>
        <w:rPr>
          <w:rFonts w:ascii="Cambria" w:hAnsi="Cambria" w:cs="Cambria"/>
          <w:sz w:val="24"/>
          <w:szCs w:val="24"/>
        </w:rPr>
      </w:pPr>
    </w:p>
    <w:p w14:paraId="6BFFFE0E" w14:textId="0CC82B92" w:rsidR="003930A0" w:rsidRPr="003930A0" w:rsidRDefault="003930A0" w:rsidP="003930A0">
      <w:pPr>
        <w:pStyle w:val="Heading2"/>
        <w:spacing w:line="360" w:lineRule="auto"/>
        <w:rPr>
          <w:rFonts w:ascii="Cambria" w:hAnsi="Cambria" w:cs="Cambria"/>
          <w:b/>
          <w:bCs/>
          <w:sz w:val="24"/>
          <w:szCs w:val="24"/>
        </w:rPr>
      </w:pPr>
      <w:bookmarkStart w:id="51" w:name="_Toc223979951"/>
      <w:r w:rsidRPr="003930A0">
        <w:rPr>
          <w:rFonts w:ascii="Cambria" w:hAnsi="Cambria" w:cs="Cambria"/>
          <w:b/>
          <w:bCs/>
          <w:sz w:val="24"/>
          <w:szCs w:val="24"/>
        </w:rPr>
        <w:t>Consultation Response Table</w:t>
      </w:r>
      <w:bookmarkEnd w:id="51"/>
    </w:p>
    <w:tbl>
      <w:tblPr>
        <w:tblStyle w:val="TableGrid"/>
        <w:tblW w:w="0" w:type="auto"/>
        <w:tblLook w:val="04A0" w:firstRow="1" w:lastRow="0" w:firstColumn="1" w:lastColumn="0" w:noHBand="0" w:noVBand="1"/>
      </w:tblPr>
      <w:tblGrid>
        <w:gridCol w:w="1958"/>
        <w:gridCol w:w="1863"/>
        <w:gridCol w:w="1664"/>
        <w:gridCol w:w="1803"/>
        <w:gridCol w:w="1728"/>
      </w:tblGrid>
      <w:tr w:rsidR="003930A0" w:rsidRPr="003930A0" w14:paraId="02383BC2" w14:textId="77777777" w:rsidTr="003930A0">
        <w:tc>
          <w:tcPr>
            <w:tcW w:w="0" w:type="auto"/>
            <w:hideMark/>
          </w:tcPr>
          <w:p w14:paraId="56C25F4A" w14:textId="77777777" w:rsidR="003930A0" w:rsidRPr="003930A0" w:rsidRDefault="003930A0" w:rsidP="003930A0">
            <w:pPr>
              <w:jc w:val="center"/>
              <w:rPr>
                <w:b/>
                <w:bCs/>
                <w:color w:val="000000"/>
              </w:rPr>
            </w:pPr>
            <w:r w:rsidRPr="003930A0">
              <w:rPr>
                <w:b/>
                <w:bCs/>
                <w:color w:val="000000"/>
              </w:rPr>
              <w:t>Section of Consultation Document</w:t>
            </w:r>
          </w:p>
        </w:tc>
        <w:tc>
          <w:tcPr>
            <w:tcW w:w="0" w:type="auto"/>
            <w:hideMark/>
          </w:tcPr>
          <w:p w14:paraId="79CE6BA0" w14:textId="77777777" w:rsidR="003930A0" w:rsidRPr="003930A0" w:rsidRDefault="003930A0" w:rsidP="003930A0">
            <w:pPr>
              <w:jc w:val="center"/>
              <w:rPr>
                <w:b/>
                <w:bCs/>
                <w:color w:val="000000"/>
              </w:rPr>
            </w:pPr>
            <w:r w:rsidRPr="003930A0">
              <w:rPr>
                <w:b/>
                <w:bCs/>
                <w:color w:val="000000"/>
              </w:rPr>
              <w:t>Consultation Question / Issue</w:t>
            </w:r>
          </w:p>
        </w:tc>
        <w:tc>
          <w:tcPr>
            <w:tcW w:w="0" w:type="auto"/>
            <w:hideMark/>
          </w:tcPr>
          <w:p w14:paraId="7F03DFD8" w14:textId="77777777" w:rsidR="003930A0" w:rsidRPr="003930A0" w:rsidRDefault="003930A0" w:rsidP="003930A0">
            <w:pPr>
              <w:jc w:val="center"/>
              <w:rPr>
                <w:b/>
                <w:bCs/>
                <w:color w:val="000000"/>
              </w:rPr>
            </w:pPr>
            <w:r w:rsidRPr="003930A0">
              <w:rPr>
                <w:b/>
                <w:bCs/>
                <w:color w:val="000000"/>
              </w:rPr>
              <w:t>Stakeholder Comment</w:t>
            </w:r>
          </w:p>
        </w:tc>
        <w:tc>
          <w:tcPr>
            <w:tcW w:w="0" w:type="auto"/>
            <w:hideMark/>
          </w:tcPr>
          <w:p w14:paraId="52AF51EF" w14:textId="77777777" w:rsidR="003930A0" w:rsidRPr="003930A0" w:rsidRDefault="003930A0" w:rsidP="003930A0">
            <w:pPr>
              <w:jc w:val="center"/>
              <w:rPr>
                <w:b/>
                <w:bCs/>
                <w:color w:val="000000"/>
              </w:rPr>
            </w:pPr>
            <w:r w:rsidRPr="003930A0">
              <w:rPr>
                <w:b/>
                <w:bCs/>
                <w:color w:val="000000"/>
              </w:rPr>
              <w:t>Supporting Evidence or Analysis</w:t>
            </w:r>
          </w:p>
        </w:tc>
        <w:tc>
          <w:tcPr>
            <w:tcW w:w="0" w:type="auto"/>
            <w:hideMark/>
          </w:tcPr>
          <w:p w14:paraId="2AE73064" w14:textId="77777777" w:rsidR="003930A0" w:rsidRPr="003930A0" w:rsidRDefault="003930A0" w:rsidP="003930A0">
            <w:pPr>
              <w:jc w:val="center"/>
              <w:rPr>
                <w:b/>
                <w:bCs/>
                <w:color w:val="000000"/>
              </w:rPr>
            </w:pPr>
            <w:r w:rsidRPr="003930A0">
              <w:rPr>
                <w:b/>
                <w:bCs/>
                <w:color w:val="000000"/>
              </w:rPr>
              <w:t>Proposed Alternative (if any)</w:t>
            </w:r>
          </w:p>
        </w:tc>
      </w:tr>
      <w:tr w:rsidR="003930A0" w:rsidRPr="003930A0" w14:paraId="74EBAB39" w14:textId="77777777" w:rsidTr="003930A0">
        <w:tc>
          <w:tcPr>
            <w:tcW w:w="0" w:type="auto"/>
            <w:hideMark/>
          </w:tcPr>
          <w:p w14:paraId="42592345" w14:textId="77777777" w:rsidR="003930A0" w:rsidRPr="003930A0" w:rsidRDefault="003930A0" w:rsidP="003930A0">
            <w:pPr>
              <w:jc w:val="center"/>
              <w:rPr>
                <w:b/>
                <w:bCs/>
                <w:color w:val="000000"/>
              </w:rPr>
            </w:pPr>
          </w:p>
        </w:tc>
        <w:tc>
          <w:tcPr>
            <w:tcW w:w="0" w:type="auto"/>
            <w:hideMark/>
          </w:tcPr>
          <w:p w14:paraId="70AAE4D5" w14:textId="77777777" w:rsidR="003930A0" w:rsidRPr="003930A0" w:rsidRDefault="003930A0" w:rsidP="003930A0">
            <w:pPr>
              <w:rPr>
                <w:sz w:val="20"/>
                <w:szCs w:val="20"/>
              </w:rPr>
            </w:pPr>
          </w:p>
        </w:tc>
        <w:tc>
          <w:tcPr>
            <w:tcW w:w="0" w:type="auto"/>
            <w:hideMark/>
          </w:tcPr>
          <w:p w14:paraId="6719BD42" w14:textId="77777777" w:rsidR="003930A0" w:rsidRPr="003930A0" w:rsidRDefault="003930A0" w:rsidP="003930A0">
            <w:pPr>
              <w:rPr>
                <w:sz w:val="20"/>
                <w:szCs w:val="20"/>
              </w:rPr>
            </w:pPr>
          </w:p>
        </w:tc>
        <w:tc>
          <w:tcPr>
            <w:tcW w:w="0" w:type="auto"/>
            <w:hideMark/>
          </w:tcPr>
          <w:p w14:paraId="617E6CCF" w14:textId="77777777" w:rsidR="003930A0" w:rsidRPr="003930A0" w:rsidRDefault="003930A0" w:rsidP="003930A0">
            <w:pPr>
              <w:rPr>
                <w:sz w:val="20"/>
                <w:szCs w:val="20"/>
              </w:rPr>
            </w:pPr>
          </w:p>
        </w:tc>
        <w:tc>
          <w:tcPr>
            <w:tcW w:w="0" w:type="auto"/>
            <w:hideMark/>
          </w:tcPr>
          <w:p w14:paraId="4A212740" w14:textId="77777777" w:rsidR="003930A0" w:rsidRPr="003930A0" w:rsidRDefault="003930A0" w:rsidP="003930A0">
            <w:pPr>
              <w:rPr>
                <w:sz w:val="20"/>
                <w:szCs w:val="20"/>
              </w:rPr>
            </w:pPr>
          </w:p>
        </w:tc>
      </w:tr>
      <w:tr w:rsidR="003930A0" w:rsidRPr="003930A0" w14:paraId="11B3D1E2" w14:textId="77777777" w:rsidTr="003930A0">
        <w:tc>
          <w:tcPr>
            <w:tcW w:w="0" w:type="auto"/>
            <w:hideMark/>
          </w:tcPr>
          <w:p w14:paraId="101495E8" w14:textId="77777777" w:rsidR="003930A0" w:rsidRPr="003930A0" w:rsidRDefault="003930A0" w:rsidP="003930A0">
            <w:pPr>
              <w:rPr>
                <w:sz w:val="20"/>
                <w:szCs w:val="20"/>
              </w:rPr>
            </w:pPr>
          </w:p>
        </w:tc>
        <w:tc>
          <w:tcPr>
            <w:tcW w:w="0" w:type="auto"/>
            <w:hideMark/>
          </w:tcPr>
          <w:p w14:paraId="00C7A3DA" w14:textId="77777777" w:rsidR="003930A0" w:rsidRPr="003930A0" w:rsidRDefault="003930A0" w:rsidP="003930A0">
            <w:pPr>
              <w:rPr>
                <w:sz w:val="20"/>
                <w:szCs w:val="20"/>
              </w:rPr>
            </w:pPr>
          </w:p>
        </w:tc>
        <w:tc>
          <w:tcPr>
            <w:tcW w:w="0" w:type="auto"/>
            <w:hideMark/>
          </w:tcPr>
          <w:p w14:paraId="05E58903" w14:textId="77777777" w:rsidR="003930A0" w:rsidRPr="003930A0" w:rsidRDefault="003930A0" w:rsidP="003930A0">
            <w:pPr>
              <w:rPr>
                <w:sz w:val="20"/>
                <w:szCs w:val="20"/>
              </w:rPr>
            </w:pPr>
          </w:p>
        </w:tc>
        <w:tc>
          <w:tcPr>
            <w:tcW w:w="0" w:type="auto"/>
            <w:hideMark/>
          </w:tcPr>
          <w:p w14:paraId="51C5EF03" w14:textId="77777777" w:rsidR="003930A0" w:rsidRPr="003930A0" w:rsidRDefault="003930A0" w:rsidP="003930A0">
            <w:pPr>
              <w:rPr>
                <w:sz w:val="20"/>
                <w:szCs w:val="20"/>
              </w:rPr>
            </w:pPr>
          </w:p>
        </w:tc>
        <w:tc>
          <w:tcPr>
            <w:tcW w:w="0" w:type="auto"/>
            <w:hideMark/>
          </w:tcPr>
          <w:p w14:paraId="316F30E7" w14:textId="77777777" w:rsidR="003930A0" w:rsidRPr="003930A0" w:rsidRDefault="003930A0" w:rsidP="003930A0">
            <w:pPr>
              <w:rPr>
                <w:sz w:val="20"/>
                <w:szCs w:val="20"/>
              </w:rPr>
            </w:pPr>
          </w:p>
        </w:tc>
      </w:tr>
      <w:tr w:rsidR="003930A0" w:rsidRPr="003930A0" w14:paraId="2ED11D17" w14:textId="77777777" w:rsidTr="003930A0">
        <w:tc>
          <w:tcPr>
            <w:tcW w:w="0" w:type="auto"/>
            <w:hideMark/>
          </w:tcPr>
          <w:p w14:paraId="3A8774EA" w14:textId="77777777" w:rsidR="003930A0" w:rsidRPr="003930A0" w:rsidRDefault="003930A0" w:rsidP="003930A0">
            <w:pPr>
              <w:rPr>
                <w:sz w:val="20"/>
                <w:szCs w:val="20"/>
              </w:rPr>
            </w:pPr>
          </w:p>
        </w:tc>
        <w:tc>
          <w:tcPr>
            <w:tcW w:w="0" w:type="auto"/>
            <w:hideMark/>
          </w:tcPr>
          <w:p w14:paraId="799CF61E" w14:textId="77777777" w:rsidR="003930A0" w:rsidRPr="003930A0" w:rsidRDefault="003930A0" w:rsidP="003930A0">
            <w:pPr>
              <w:rPr>
                <w:sz w:val="20"/>
                <w:szCs w:val="20"/>
              </w:rPr>
            </w:pPr>
          </w:p>
        </w:tc>
        <w:tc>
          <w:tcPr>
            <w:tcW w:w="0" w:type="auto"/>
            <w:hideMark/>
          </w:tcPr>
          <w:p w14:paraId="159AD72F" w14:textId="77777777" w:rsidR="003930A0" w:rsidRPr="003930A0" w:rsidRDefault="003930A0" w:rsidP="003930A0">
            <w:pPr>
              <w:rPr>
                <w:sz w:val="20"/>
                <w:szCs w:val="20"/>
              </w:rPr>
            </w:pPr>
          </w:p>
        </w:tc>
        <w:tc>
          <w:tcPr>
            <w:tcW w:w="0" w:type="auto"/>
            <w:hideMark/>
          </w:tcPr>
          <w:p w14:paraId="703DEA55" w14:textId="77777777" w:rsidR="003930A0" w:rsidRPr="003930A0" w:rsidRDefault="003930A0" w:rsidP="003930A0">
            <w:pPr>
              <w:rPr>
                <w:sz w:val="20"/>
                <w:szCs w:val="20"/>
              </w:rPr>
            </w:pPr>
          </w:p>
        </w:tc>
        <w:tc>
          <w:tcPr>
            <w:tcW w:w="0" w:type="auto"/>
            <w:hideMark/>
          </w:tcPr>
          <w:p w14:paraId="1253AAEE" w14:textId="77777777" w:rsidR="003930A0" w:rsidRPr="003930A0" w:rsidRDefault="003930A0" w:rsidP="003930A0">
            <w:pPr>
              <w:rPr>
                <w:sz w:val="20"/>
                <w:szCs w:val="20"/>
              </w:rPr>
            </w:pPr>
          </w:p>
        </w:tc>
      </w:tr>
      <w:tr w:rsidR="003930A0" w:rsidRPr="003930A0" w14:paraId="3ACDA0D0" w14:textId="77777777" w:rsidTr="003930A0">
        <w:tc>
          <w:tcPr>
            <w:tcW w:w="0" w:type="auto"/>
            <w:hideMark/>
          </w:tcPr>
          <w:p w14:paraId="2755D0C7" w14:textId="77777777" w:rsidR="003930A0" w:rsidRPr="003930A0" w:rsidRDefault="003930A0" w:rsidP="003930A0">
            <w:pPr>
              <w:rPr>
                <w:sz w:val="20"/>
                <w:szCs w:val="20"/>
              </w:rPr>
            </w:pPr>
          </w:p>
        </w:tc>
        <w:tc>
          <w:tcPr>
            <w:tcW w:w="0" w:type="auto"/>
            <w:hideMark/>
          </w:tcPr>
          <w:p w14:paraId="22371878" w14:textId="77777777" w:rsidR="003930A0" w:rsidRPr="003930A0" w:rsidRDefault="003930A0" w:rsidP="003930A0">
            <w:pPr>
              <w:rPr>
                <w:sz w:val="20"/>
                <w:szCs w:val="20"/>
              </w:rPr>
            </w:pPr>
          </w:p>
        </w:tc>
        <w:tc>
          <w:tcPr>
            <w:tcW w:w="0" w:type="auto"/>
            <w:hideMark/>
          </w:tcPr>
          <w:p w14:paraId="36B27395" w14:textId="77777777" w:rsidR="003930A0" w:rsidRPr="003930A0" w:rsidRDefault="003930A0" w:rsidP="003930A0">
            <w:pPr>
              <w:rPr>
                <w:sz w:val="20"/>
                <w:szCs w:val="20"/>
              </w:rPr>
            </w:pPr>
          </w:p>
        </w:tc>
        <w:tc>
          <w:tcPr>
            <w:tcW w:w="0" w:type="auto"/>
            <w:hideMark/>
          </w:tcPr>
          <w:p w14:paraId="7708F99C" w14:textId="77777777" w:rsidR="003930A0" w:rsidRPr="003930A0" w:rsidRDefault="003930A0" w:rsidP="003930A0">
            <w:pPr>
              <w:rPr>
                <w:sz w:val="20"/>
                <w:szCs w:val="20"/>
              </w:rPr>
            </w:pPr>
          </w:p>
        </w:tc>
        <w:tc>
          <w:tcPr>
            <w:tcW w:w="0" w:type="auto"/>
            <w:hideMark/>
          </w:tcPr>
          <w:p w14:paraId="2E5CD7C0" w14:textId="77777777" w:rsidR="003930A0" w:rsidRPr="003930A0" w:rsidRDefault="003930A0" w:rsidP="003930A0">
            <w:pPr>
              <w:rPr>
                <w:sz w:val="20"/>
                <w:szCs w:val="20"/>
              </w:rPr>
            </w:pPr>
          </w:p>
        </w:tc>
      </w:tr>
      <w:tr w:rsidR="003930A0" w:rsidRPr="003930A0" w14:paraId="49D02500" w14:textId="77777777" w:rsidTr="003930A0">
        <w:tc>
          <w:tcPr>
            <w:tcW w:w="0" w:type="auto"/>
          </w:tcPr>
          <w:p w14:paraId="3BB18169" w14:textId="77777777" w:rsidR="003930A0" w:rsidRPr="003930A0" w:rsidRDefault="003930A0" w:rsidP="003930A0">
            <w:pPr>
              <w:rPr>
                <w:sz w:val="20"/>
                <w:szCs w:val="20"/>
              </w:rPr>
            </w:pPr>
          </w:p>
        </w:tc>
        <w:tc>
          <w:tcPr>
            <w:tcW w:w="0" w:type="auto"/>
          </w:tcPr>
          <w:p w14:paraId="23BE7861" w14:textId="77777777" w:rsidR="003930A0" w:rsidRPr="003930A0" w:rsidRDefault="003930A0" w:rsidP="003930A0">
            <w:pPr>
              <w:rPr>
                <w:sz w:val="20"/>
                <w:szCs w:val="20"/>
              </w:rPr>
            </w:pPr>
          </w:p>
        </w:tc>
        <w:tc>
          <w:tcPr>
            <w:tcW w:w="0" w:type="auto"/>
          </w:tcPr>
          <w:p w14:paraId="5D1CF5E8" w14:textId="77777777" w:rsidR="003930A0" w:rsidRPr="003930A0" w:rsidRDefault="003930A0" w:rsidP="003930A0">
            <w:pPr>
              <w:rPr>
                <w:sz w:val="20"/>
                <w:szCs w:val="20"/>
              </w:rPr>
            </w:pPr>
          </w:p>
        </w:tc>
        <w:tc>
          <w:tcPr>
            <w:tcW w:w="0" w:type="auto"/>
          </w:tcPr>
          <w:p w14:paraId="3B12A8DD" w14:textId="77777777" w:rsidR="003930A0" w:rsidRPr="003930A0" w:rsidRDefault="003930A0" w:rsidP="003930A0">
            <w:pPr>
              <w:rPr>
                <w:sz w:val="20"/>
                <w:szCs w:val="20"/>
              </w:rPr>
            </w:pPr>
          </w:p>
        </w:tc>
        <w:tc>
          <w:tcPr>
            <w:tcW w:w="0" w:type="auto"/>
          </w:tcPr>
          <w:p w14:paraId="55E4E91F" w14:textId="77777777" w:rsidR="003930A0" w:rsidRPr="003930A0" w:rsidRDefault="003930A0" w:rsidP="003930A0">
            <w:pPr>
              <w:rPr>
                <w:sz w:val="20"/>
                <w:szCs w:val="20"/>
              </w:rPr>
            </w:pPr>
          </w:p>
        </w:tc>
      </w:tr>
      <w:tr w:rsidR="003930A0" w:rsidRPr="003930A0" w14:paraId="3CF6B0A3" w14:textId="77777777" w:rsidTr="003930A0">
        <w:tc>
          <w:tcPr>
            <w:tcW w:w="0" w:type="auto"/>
          </w:tcPr>
          <w:p w14:paraId="51284991" w14:textId="77777777" w:rsidR="003930A0" w:rsidRPr="003930A0" w:rsidRDefault="003930A0" w:rsidP="003930A0">
            <w:pPr>
              <w:rPr>
                <w:sz w:val="20"/>
                <w:szCs w:val="20"/>
              </w:rPr>
            </w:pPr>
          </w:p>
        </w:tc>
        <w:tc>
          <w:tcPr>
            <w:tcW w:w="0" w:type="auto"/>
          </w:tcPr>
          <w:p w14:paraId="119B0DFB" w14:textId="77777777" w:rsidR="003930A0" w:rsidRPr="003930A0" w:rsidRDefault="003930A0" w:rsidP="003930A0">
            <w:pPr>
              <w:rPr>
                <w:sz w:val="20"/>
                <w:szCs w:val="20"/>
              </w:rPr>
            </w:pPr>
          </w:p>
        </w:tc>
        <w:tc>
          <w:tcPr>
            <w:tcW w:w="0" w:type="auto"/>
          </w:tcPr>
          <w:p w14:paraId="0474028C" w14:textId="77777777" w:rsidR="003930A0" w:rsidRPr="003930A0" w:rsidRDefault="003930A0" w:rsidP="003930A0">
            <w:pPr>
              <w:rPr>
                <w:sz w:val="20"/>
                <w:szCs w:val="20"/>
              </w:rPr>
            </w:pPr>
          </w:p>
        </w:tc>
        <w:tc>
          <w:tcPr>
            <w:tcW w:w="0" w:type="auto"/>
          </w:tcPr>
          <w:p w14:paraId="7192565A" w14:textId="77777777" w:rsidR="003930A0" w:rsidRPr="003930A0" w:rsidRDefault="003930A0" w:rsidP="003930A0">
            <w:pPr>
              <w:rPr>
                <w:sz w:val="20"/>
                <w:szCs w:val="20"/>
              </w:rPr>
            </w:pPr>
          </w:p>
        </w:tc>
        <w:tc>
          <w:tcPr>
            <w:tcW w:w="0" w:type="auto"/>
          </w:tcPr>
          <w:p w14:paraId="16079BF5" w14:textId="77777777" w:rsidR="003930A0" w:rsidRPr="003930A0" w:rsidRDefault="003930A0" w:rsidP="003930A0">
            <w:pPr>
              <w:rPr>
                <w:sz w:val="20"/>
                <w:szCs w:val="20"/>
              </w:rPr>
            </w:pPr>
          </w:p>
        </w:tc>
      </w:tr>
    </w:tbl>
    <w:p w14:paraId="7D9F3103" w14:textId="77777777" w:rsidR="003930A0" w:rsidRPr="003930A0" w:rsidRDefault="003930A0" w:rsidP="006C59D4">
      <w:pPr>
        <w:pStyle w:val="NoSpacing"/>
        <w:rPr>
          <w:rFonts w:ascii="Cambria" w:hAnsi="Cambria"/>
        </w:rPr>
      </w:pPr>
      <w:r w:rsidRPr="003930A0">
        <w:rPr>
          <w:rFonts w:ascii="Cambria" w:hAnsi="Cambria"/>
        </w:rPr>
        <w:t>Respondents should clearly indicate the section of the consultation document to which their comments relate.</w:t>
      </w:r>
    </w:p>
    <w:p w14:paraId="469DDDE9" w14:textId="77777777" w:rsidR="003930A0" w:rsidRPr="003930A0" w:rsidRDefault="003930A0" w:rsidP="006C59D4">
      <w:pPr>
        <w:pStyle w:val="NoSpacing"/>
        <w:rPr>
          <w:rFonts w:ascii="Cambria" w:hAnsi="Cambria"/>
        </w:rPr>
      </w:pPr>
      <w:r w:rsidRPr="003930A0">
        <w:rPr>
          <w:rFonts w:ascii="Cambria" w:hAnsi="Cambria"/>
        </w:rPr>
        <w:t>Stakeholders may provide any additional comments or observations regarding the proposed framework below.</w:t>
      </w:r>
    </w:p>
    <w:p w14:paraId="6BD5F4E3" w14:textId="30AD6BD3" w:rsidR="003930A0" w:rsidRPr="003930A0" w:rsidRDefault="003930A0" w:rsidP="003930A0"/>
    <w:p w14:paraId="0A20A47A" w14:textId="77777777" w:rsidR="003930A0" w:rsidRPr="003930A0" w:rsidRDefault="003930A0" w:rsidP="003930A0">
      <w:pPr>
        <w:pStyle w:val="Heading2"/>
        <w:spacing w:line="360" w:lineRule="auto"/>
        <w:rPr>
          <w:rFonts w:ascii="Cambria" w:hAnsi="Cambria" w:cs="Cambria"/>
          <w:b/>
          <w:bCs/>
          <w:sz w:val="24"/>
          <w:szCs w:val="24"/>
        </w:rPr>
      </w:pPr>
      <w:bookmarkStart w:id="52" w:name="_Toc223979952"/>
      <w:r w:rsidRPr="003930A0">
        <w:rPr>
          <w:rFonts w:ascii="Cambria" w:hAnsi="Cambria" w:cs="Cambria"/>
          <w:b/>
          <w:bCs/>
          <w:sz w:val="24"/>
          <w:szCs w:val="24"/>
        </w:rPr>
        <w:t>Confidentiality of Submissions</w:t>
      </w:r>
      <w:bookmarkEnd w:id="52"/>
    </w:p>
    <w:p w14:paraId="2152811D" w14:textId="77777777" w:rsidR="003930A0" w:rsidRDefault="003930A0" w:rsidP="006C59D4">
      <w:pPr>
        <w:pStyle w:val="NoSpacing"/>
        <w:rPr>
          <w:rFonts w:ascii="Cambria" w:hAnsi="Cambria"/>
        </w:rPr>
      </w:pPr>
      <w:r w:rsidRPr="003930A0">
        <w:rPr>
          <w:rFonts w:ascii="Cambria" w:hAnsi="Cambria"/>
        </w:rPr>
        <w:t>Respondents should indicate whether any part of their submission is confidential.</w:t>
      </w:r>
    </w:p>
    <w:p w14:paraId="6F90B047" w14:textId="77777777" w:rsidR="006C59D4" w:rsidRPr="003930A0" w:rsidRDefault="006C59D4" w:rsidP="006C59D4">
      <w:pPr>
        <w:pStyle w:val="NoSpacing"/>
        <w:rPr>
          <w:rFonts w:ascii="Cambria" w:hAnsi="Cambri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0"/>
        <w:gridCol w:w="5356"/>
      </w:tblGrid>
      <w:tr w:rsidR="003930A0" w:rsidRPr="003930A0" w14:paraId="0BD802EC" w14:textId="77777777">
        <w:trPr>
          <w:tblHeader/>
          <w:tblCellSpacing w:w="15" w:type="dxa"/>
        </w:trPr>
        <w:tc>
          <w:tcPr>
            <w:tcW w:w="0" w:type="auto"/>
            <w:vAlign w:val="center"/>
            <w:hideMark/>
          </w:tcPr>
          <w:p w14:paraId="752FF020" w14:textId="77777777" w:rsidR="003930A0" w:rsidRPr="003930A0" w:rsidRDefault="003930A0" w:rsidP="003930A0">
            <w:pPr>
              <w:jc w:val="center"/>
              <w:rPr>
                <w:b/>
                <w:bCs/>
                <w:color w:val="000000"/>
              </w:rPr>
            </w:pPr>
            <w:r w:rsidRPr="003930A0">
              <w:rPr>
                <w:b/>
                <w:bCs/>
                <w:color w:val="000000"/>
              </w:rPr>
              <w:t>Confidentiality Status</w:t>
            </w:r>
          </w:p>
        </w:tc>
        <w:tc>
          <w:tcPr>
            <w:tcW w:w="0" w:type="auto"/>
            <w:vAlign w:val="center"/>
            <w:hideMark/>
          </w:tcPr>
          <w:p w14:paraId="4B1BFD7A" w14:textId="77777777" w:rsidR="003930A0" w:rsidRPr="003930A0" w:rsidRDefault="003930A0" w:rsidP="003930A0">
            <w:pPr>
              <w:jc w:val="center"/>
              <w:rPr>
                <w:b/>
                <w:bCs/>
                <w:color w:val="000000"/>
              </w:rPr>
            </w:pPr>
            <w:r w:rsidRPr="003930A0">
              <w:rPr>
                <w:b/>
                <w:bCs/>
                <w:color w:val="000000"/>
              </w:rPr>
              <w:t>Details</w:t>
            </w:r>
          </w:p>
        </w:tc>
      </w:tr>
      <w:tr w:rsidR="003930A0" w:rsidRPr="003930A0" w14:paraId="0E1E052D" w14:textId="77777777">
        <w:trPr>
          <w:tblCellSpacing w:w="15" w:type="dxa"/>
        </w:trPr>
        <w:tc>
          <w:tcPr>
            <w:tcW w:w="0" w:type="auto"/>
            <w:vAlign w:val="center"/>
            <w:hideMark/>
          </w:tcPr>
          <w:p w14:paraId="78F4C3CA" w14:textId="77777777" w:rsidR="003930A0" w:rsidRPr="003930A0" w:rsidRDefault="003930A0" w:rsidP="003930A0">
            <w:pPr>
              <w:rPr>
                <w:color w:val="000000"/>
              </w:rPr>
            </w:pPr>
            <w:r w:rsidRPr="003930A0">
              <w:rPr>
                <w:rFonts w:ascii="Segoe UI Symbol" w:hAnsi="Segoe UI Symbol" w:cs="Segoe UI Symbol"/>
                <w:color w:val="000000"/>
              </w:rPr>
              <w:t>☐</w:t>
            </w:r>
            <w:r w:rsidRPr="003930A0">
              <w:rPr>
                <w:color w:val="000000"/>
              </w:rPr>
              <w:t xml:space="preserve"> Entire submission is public</w:t>
            </w:r>
          </w:p>
        </w:tc>
        <w:tc>
          <w:tcPr>
            <w:tcW w:w="0" w:type="auto"/>
            <w:vAlign w:val="center"/>
            <w:hideMark/>
          </w:tcPr>
          <w:p w14:paraId="61081517" w14:textId="77777777" w:rsidR="003930A0" w:rsidRPr="003930A0" w:rsidRDefault="003930A0" w:rsidP="003930A0">
            <w:pPr>
              <w:rPr>
                <w:color w:val="000000"/>
              </w:rPr>
            </w:pPr>
          </w:p>
        </w:tc>
      </w:tr>
      <w:tr w:rsidR="003930A0" w:rsidRPr="003930A0" w14:paraId="75AC2E76" w14:textId="77777777">
        <w:trPr>
          <w:tblCellSpacing w:w="15" w:type="dxa"/>
        </w:trPr>
        <w:tc>
          <w:tcPr>
            <w:tcW w:w="0" w:type="auto"/>
            <w:vAlign w:val="center"/>
            <w:hideMark/>
          </w:tcPr>
          <w:p w14:paraId="30B93F74" w14:textId="77777777" w:rsidR="003930A0" w:rsidRPr="003930A0" w:rsidRDefault="003930A0" w:rsidP="003930A0">
            <w:pPr>
              <w:rPr>
                <w:color w:val="000000"/>
              </w:rPr>
            </w:pPr>
            <w:r w:rsidRPr="003930A0">
              <w:rPr>
                <w:rFonts w:ascii="Segoe UI Symbol" w:hAnsi="Segoe UI Symbol" w:cs="Segoe UI Symbol"/>
                <w:color w:val="000000"/>
              </w:rPr>
              <w:t>☐</w:t>
            </w:r>
            <w:r w:rsidRPr="003930A0">
              <w:rPr>
                <w:color w:val="000000"/>
              </w:rPr>
              <w:t xml:space="preserve"> Parts of the submission are confidential</w:t>
            </w:r>
          </w:p>
        </w:tc>
        <w:tc>
          <w:tcPr>
            <w:tcW w:w="0" w:type="auto"/>
            <w:vAlign w:val="center"/>
            <w:hideMark/>
          </w:tcPr>
          <w:p w14:paraId="4DC41025" w14:textId="77777777" w:rsidR="003930A0" w:rsidRPr="003930A0" w:rsidRDefault="003930A0" w:rsidP="003930A0">
            <w:pPr>
              <w:rPr>
                <w:color w:val="000000"/>
              </w:rPr>
            </w:pPr>
            <w:r w:rsidRPr="003930A0">
              <w:rPr>
                <w:color w:val="000000"/>
              </w:rPr>
              <w:t>Please identify the confidential sections and provide justification</w:t>
            </w:r>
          </w:p>
        </w:tc>
      </w:tr>
    </w:tbl>
    <w:p w14:paraId="09024ED6" w14:textId="77777777" w:rsidR="006C59D4" w:rsidRDefault="006C59D4" w:rsidP="006C59D4">
      <w:pPr>
        <w:pStyle w:val="NoSpacing"/>
        <w:rPr>
          <w:rFonts w:ascii="Cambria" w:hAnsi="Cambria"/>
        </w:rPr>
      </w:pPr>
    </w:p>
    <w:p w14:paraId="697F4898" w14:textId="4505C278" w:rsidR="003930A0" w:rsidRPr="003930A0" w:rsidRDefault="003930A0" w:rsidP="006C59D4">
      <w:pPr>
        <w:pStyle w:val="NoSpacing"/>
        <w:rPr>
          <w:rFonts w:ascii="Cambria" w:hAnsi="Cambria"/>
        </w:rPr>
      </w:pPr>
      <w:r w:rsidRPr="003930A0">
        <w:rPr>
          <w:rFonts w:ascii="Cambria" w:hAnsi="Cambria"/>
        </w:rPr>
        <w:lastRenderedPageBreak/>
        <w:t>Where confidentiality is claimed, respondents are encouraged to provide a non-confidential version or summary where possible.</w:t>
      </w:r>
    </w:p>
    <w:p w14:paraId="4A64E36D" w14:textId="77777777" w:rsidR="003930A0" w:rsidRPr="003930A0" w:rsidRDefault="003930A0" w:rsidP="006C59D4">
      <w:pPr>
        <w:pStyle w:val="Heading2"/>
        <w:spacing w:line="360" w:lineRule="auto"/>
        <w:rPr>
          <w:rFonts w:ascii="Cambria" w:hAnsi="Cambria" w:cs="Cambria"/>
          <w:b/>
          <w:bCs/>
          <w:sz w:val="24"/>
          <w:szCs w:val="24"/>
        </w:rPr>
      </w:pPr>
      <w:bookmarkStart w:id="53" w:name="_Toc223979953"/>
      <w:r w:rsidRPr="003930A0">
        <w:rPr>
          <w:rFonts w:ascii="Cambria" w:hAnsi="Cambria" w:cs="Cambria"/>
          <w:b/>
          <w:bCs/>
          <w:sz w:val="24"/>
          <w:szCs w:val="24"/>
        </w:rPr>
        <w:t>Submission Instructions</w:t>
      </w:r>
      <w:bookmarkEnd w:id="53"/>
    </w:p>
    <w:p w14:paraId="1B75A1CB" w14:textId="77777777" w:rsidR="003930A0" w:rsidRDefault="003930A0" w:rsidP="006C59D4">
      <w:pPr>
        <w:pStyle w:val="NoSpacing"/>
        <w:rPr>
          <w:rFonts w:ascii="Cambria" w:hAnsi="Cambria"/>
        </w:rPr>
      </w:pPr>
      <w:r w:rsidRPr="003930A0">
        <w:rPr>
          <w:rFonts w:ascii="Cambria" w:hAnsi="Cambria"/>
        </w:rPr>
        <w:t>Completed submissions should be sent to the Authority within the consultation period specified in the consultation document.</w:t>
      </w:r>
    </w:p>
    <w:p w14:paraId="1416AD5F" w14:textId="77777777" w:rsidR="006C59D4" w:rsidRPr="003930A0" w:rsidRDefault="006C59D4" w:rsidP="006C59D4">
      <w:pPr>
        <w:pStyle w:val="NoSpacing"/>
        <w:rPr>
          <w:rFonts w:ascii="Cambria" w:hAnsi="Cambria"/>
        </w:rPr>
      </w:pPr>
    </w:p>
    <w:p w14:paraId="0ACCB062" w14:textId="77777777" w:rsidR="003930A0" w:rsidRPr="003930A0" w:rsidRDefault="003930A0" w:rsidP="006C59D4">
      <w:pPr>
        <w:pStyle w:val="NoSpacing"/>
        <w:rPr>
          <w:rFonts w:ascii="Cambria" w:hAnsi="Cambria"/>
        </w:rPr>
      </w:pPr>
      <w:r w:rsidRPr="003930A0">
        <w:rPr>
          <w:rFonts w:ascii="Cambria" w:hAnsi="Cambria"/>
        </w:rPr>
        <w:t>Submissions may be sent electronically to the Authority using the contact details provided in the consultation notice.</w:t>
      </w:r>
    </w:p>
    <w:p w14:paraId="3AAE9A60" w14:textId="77777777" w:rsidR="00B40D07" w:rsidRDefault="00B40D07">
      <w:pPr>
        <w:spacing w:after="160" w:line="480" w:lineRule="auto"/>
        <w:jc w:val="both"/>
        <w:rPr>
          <w:rFonts w:ascii="Cambria" w:hAnsi="Cambria" w:cs="Cambria"/>
          <w:lang w:val="en-US"/>
        </w:rPr>
      </w:pPr>
    </w:p>
    <w:p w14:paraId="57653202" w14:textId="77777777" w:rsidR="00B40D07" w:rsidRDefault="00B40D07">
      <w:pPr>
        <w:spacing w:after="160" w:line="480" w:lineRule="auto"/>
        <w:jc w:val="both"/>
        <w:rPr>
          <w:rFonts w:ascii="Cambria" w:hAnsi="Cambria" w:cs="Cambria"/>
          <w:lang w:val="en-US"/>
        </w:rPr>
      </w:pPr>
    </w:p>
    <w:p w14:paraId="603C6E76" w14:textId="77777777" w:rsidR="00B40D07" w:rsidRDefault="00B40D07">
      <w:pPr>
        <w:spacing w:after="160" w:line="480" w:lineRule="auto"/>
        <w:jc w:val="both"/>
        <w:rPr>
          <w:rFonts w:ascii="Cambria" w:hAnsi="Cambria" w:cs="Cambria"/>
          <w:lang w:val="en-US"/>
        </w:rPr>
      </w:pPr>
    </w:p>
    <w:p w14:paraId="3CDCEA5E" w14:textId="77777777" w:rsidR="00B40D07" w:rsidRDefault="00B40D07" w:rsidP="00D95D19">
      <w:pPr>
        <w:keepNext/>
        <w:keepLines/>
        <w:spacing w:before="40"/>
        <w:outlineLvl w:val="1"/>
      </w:pPr>
    </w:p>
    <w:sectPr w:rsidR="00B40D0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E594E" w14:textId="77777777" w:rsidR="002866FA" w:rsidRDefault="002866FA">
      <w:r>
        <w:separator/>
      </w:r>
    </w:p>
  </w:endnote>
  <w:endnote w:type="continuationSeparator" w:id="0">
    <w:p w14:paraId="4C0D901F" w14:textId="77777777" w:rsidR="002866FA" w:rsidRDefault="0028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651636"/>
    </w:sdtPr>
    <w:sdtEndPr/>
    <w:sdtContent>
      <w:p w14:paraId="37513E3F" w14:textId="7EF5EF7A" w:rsidR="008B2D7C" w:rsidRDefault="008B2D7C">
        <w:pPr>
          <w:pStyle w:val="Footer"/>
          <w:jc w:val="right"/>
        </w:pPr>
        <w:r>
          <w:fldChar w:fldCharType="begin"/>
        </w:r>
        <w:r>
          <w:instrText xml:space="preserve"> PAGE   \* MERGEFORMAT </w:instrText>
        </w:r>
        <w:r>
          <w:fldChar w:fldCharType="separate"/>
        </w:r>
        <w:r w:rsidR="00EB3DE7">
          <w:rPr>
            <w:noProof/>
          </w:rPr>
          <w:t>15</w:t>
        </w:r>
        <w:r>
          <w:fldChar w:fldCharType="end"/>
        </w:r>
      </w:p>
    </w:sdtContent>
  </w:sdt>
  <w:p w14:paraId="42CDC317" w14:textId="77777777" w:rsidR="008B2D7C" w:rsidRDefault="008B2D7C">
    <w:pPr>
      <w:pStyle w:val="Foote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97A11" w14:textId="77777777" w:rsidR="008B2D7C" w:rsidRDefault="008B2D7C">
    <w:pPr>
      <w:pStyle w:val="Footer"/>
      <w:jc w:val="center"/>
      <w:rPr>
        <w:caps/>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color w:val="5B9BD5" w:themeColor="accent1"/>
      </w:rPr>
      <w:t>0</w:t>
    </w:r>
    <w:r>
      <w:rPr>
        <w:caps/>
        <w:color w:val="5B9BD5" w:themeColor="accent1"/>
      </w:rPr>
      <w:fldChar w:fldCharType="end"/>
    </w:r>
  </w:p>
  <w:p w14:paraId="5E0CBADC" w14:textId="77777777" w:rsidR="008B2D7C" w:rsidRDefault="008B2D7C">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2C536" w14:textId="77777777" w:rsidR="002866FA" w:rsidRDefault="002866FA">
      <w:r>
        <w:separator/>
      </w:r>
    </w:p>
  </w:footnote>
  <w:footnote w:type="continuationSeparator" w:id="0">
    <w:p w14:paraId="74D88CE0" w14:textId="77777777" w:rsidR="002866FA" w:rsidRDefault="002866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05"/>
      <w:gridCol w:w="3005"/>
      <w:gridCol w:w="3005"/>
    </w:tblGrid>
    <w:tr w:rsidR="008B2D7C" w14:paraId="4756376F" w14:textId="77777777">
      <w:trPr>
        <w:trHeight w:val="300"/>
      </w:trPr>
      <w:tc>
        <w:tcPr>
          <w:tcW w:w="3005" w:type="dxa"/>
        </w:tcPr>
        <w:p w14:paraId="2DD0599D" w14:textId="77777777" w:rsidR="008B2D7C" w:rsidRDefault="008B2D7C">
          <w:pPr>
            <w:pStyle w:val="Header"/>
            <w:ind w:left="-115"/>
          </w:pPr>
        </w:p>
      </w:tc>
      <w:tc>
        <w:tcPr>
          <w:tcW w:w="3005" w:type="dxa"/>
        </w:tcPr>
        <w:p w14:paraId="2D0AB1FB" w14:textId="77777777" w:rsidR="008B2D7C" w:rsidRDefault="008B2D7C">
          <w:pPr>
            <w:pStyle w:val="Header"/>
            <w:jc w:val="center"/>
          </w:pPr>
        </w:p>
      </w:tc>
      <w:tc>
        <w:tcPr>
          <w:tcW w:w="3005" w:type="dxa"/>
        </w:tcPr>
        <w:p w14:paraId="0E5AAAC6" w14:textId="77777777" w:rsidR="008B2D7C" w:rsidRDefault="008B2D7C">
          <w:pPr>
            <w:pStyle w:val="Header"/>
            <w:ind w:right="-115"/>
            <w:jc w:val="right"/>
          </w:pPr>
        </w:p>
      </w:tc>
    </w:tr>
  </w:tbl>
  <w:p w14:paraId="51997E6E" w14:textId="77777777" w:rsidR="008B2D7C" w:rsidRDefault="008B2D7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05"/>
      <w:gridCol w:w="3005"/>
      <w:gridCol w:w="3005"/>
    </w:tblGrid>
    <w:tr w:rsidR="008B2D7C" w14:paraId="7AE73839" w14:textId="77777777">
      <w:trPr>
        <w:trHeight w:val="300"/>
      </w:trPr>
      <w:tc>
        <w:tcPr>
          <w:tcW w:w="3005" w:type="dxa"/>
        </w:tcPr>
        <w:p w14:paraId="333D78D0" w14:textId="77777777" w:rsidR="008B2D7C" w:rsidRDefault="008B2D7C">
          <w:pPr>
            <w:pStyle w:val="Header"/>
            <w:ind w:left="-115"/>
          </w:pPr>
        </w:p>
      </w:tc>
      <w:tc>
        <w:tcPr>
          <w:tcW w:w="3005" w:type="dxa"/>
        </w:tcPr>
        <w:p w14:paraId="58509A54" w14:textId="77777777" w:rsidR="008B2D7C" w:rsidRDefault="008B2D7C">
          <w:pPr>
            <w:pStyle w:val="Header"/>
            <w:jc w:val="center"/>
          </w:pPr>
        </w:p>
      </w:tc>
      <w:tc>
        <w:tcPr>
          <w:tcW w:w="3005" w:type="dxa"/>
        </w:tcPr>
        <w:p w14:paraId="273D6F65" w14:textId="77777777" w:rsidR="008B2D7C" w:rsidRDefault="008B2D7C">
          <w:pPr>
            <w:pStyle w:val="Header"/>
            <w:ind w:right="-115"/>
            <w:jc w:val="right"/>
          </w:pPr>
        </w:p>
      </w:tc>
    </w:tr>
  </w:tbl>
  <w:p w14:paraId="1364EE4D" w14:textId="77777777" w:rsidR="008B2D7C" w:rsidRDefault="008B2D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A7F"/>
    <w:multiLevelType w:val="hybridMultilevel"/>
    <w:tmpl w:val="2668D540"/>
    <w:lvl w:ilvl="0" w:tplc="7D56EBA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CB5119"/>
    <w:multiLevelType w:val="hybridMultilevel"/>
    <w:tmpl w:val="C9EA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23C62"/>
    <w:multiLevelType w:val="hybridMultilevel"/>
    <w:tmpl w:val="6CDA56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E617C"/>
    <w:multiLevelType w:val="hybridMultilevel"/>
    <w:tmpl w:val="1CFA1120"/>
    <w:lvl w:ilvl="0" w:tplc="3E0A6030">
      <w:start w:val="1"/>
      <w:numFmt w:val="decimal"/>
      <w:lvlText w:val="2.%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B2A5B14"/>
    <w:multiLevelType w:val="multilevel"/>
    <w:tmpl w:val="1B2A5B14"/>
    <w:lvl w:ilvl="0">
      <w:start w:val="1"/>
      <w:numFmt w:val="decimal"/>
      <w:lvlText w:val="%1.0"/>
      <w:lvlJc w:val="left"/>
      <w:pPr>
        <w:ind w:left="492" w:hanging="492"/>
      </w:pPr>
      <w:rPr>
        <w:rFonts w:hint="default"/>
      </w:rPr>
    </w:lvl>
    <w:lvl w:ilvl="1">
      <w:start w:val="1"/>
      <w:numFmt w:val="decimal"/>
      <w:lvlText w:val="%1.%2"/>
      <w:lvlJc w:val="left"/>
      <w:pPr>
        <w:ind w:left="1212" w:hanging="49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F0D7D9F"/>
    <w:multiLevelType w:val="hybridMultilevel"/>
    <w:tmpl w:val="0DB2B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A047B"/>
    <w:multiLevelType w:val="hybridMultilevel"/>
    <w:tmpl w:val="0B0E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2542B"/>
    <w:multiLevelType w:val="hybridMultilevel"/>
    <w:tmpl w:val="629C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A1D64"/>
    <w:multiLevelType w:val="hybridMultilevel"/>
    <w:tmpl w:val="8A9C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0C22C7"/>
    <w:multiLevelType w:val="hybridMultilevel"/>
    <w:tmpl w:val="A4CE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13240"/>
    <w:multiLevelType w:val="hybridMultilevel"/>
    <w:tmpl w:val="D440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21465C"/>
    <w:multiLevelType w:val="hybridMultilevel"/>
    <w:tmpl w:val="EB50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4D13BA"/>
    <w:multiLevelType w:val="hybridMultilevel"/>
    <w:tmpl w:val="E0D4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622E0D"/>
    <w:multiLevelType w:val="hybridMultilevel"/>
    <w:tmpl w:val="DD20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0954E5"/>
    <w:multiLevelType w:val="hybridMultilevel"/>
    <w:tmpl w:val="44A86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E5934"/>
    <w:multiLevelType w:val="hybridMultilevel"/>
    <w:tmpl w:val="D3145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DD167B"/>
    <w:multiLevelType w:val="hybridMultilevel"/>
    <w:tmpl w:val="63924E62"/>
    <w:lvl w:ilvl="0" w:tplc="0D7C8D38">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5742E9"/>
    <w:multiLevelType w:val="hybridMultilevel"/>
    <w:tmpl w:val="2DAC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1371E1"/>
    <w:multiLevelType w:val="hybridMultilevel"/>
    <w:tmpl w:val="EFB46DEA"/>
    <w:lvl w:ilvl="0" w:tplc="4066E662">
      <w:start w:val="1"/>
      <w:numFmt w:val="decimal"/>
      <w:lvlText w:val="3.%1"/>
      <w:lvlJc w:val="left"/>
      <w:pPr>
        <w:ind w:left="1440" w:hanging="360"/>
      </w:pPr>
      <w:rPr>
        <w:rFonts w:hint="default"/>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41B7B87"/>
    <w:multiLevelType w:val="hybridMultilevel"/>
    <w:tmpl w:val="848C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B16FB4"/>
    <w:multiLevelType w:val="hybridMultilevel"/>
    <w:tmpl w:val="19AAE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8"/>
  </w:num>
  <w:num w:numId="4">
    <w:abstractNumId w:val="7"/>
  </w:num>
  <w:num w:numId="5">
    <w:abstractNumId w:val="13"/>
  </w:num>
  <w:num w:numId="6">
    <w:abstractNumId w:val="15"/>
  </w:num>
  <w:num w:numId="7">
    <w:abstractNumId w:val="14"/>
  </w:num>
  <w:num w:numId="8">
    <w:abstractNumId w:val="19"/>
  </w:num>
  <w:num w:numId="9">
    <w:abstractNumId w:val="11"/>
  </w:num>
  <w:num w:numId="10">
    <w:abstractNumId w:val="20"/>
  </w:num>
  <w:num w:numId="11">
    <w:abstractNumId w:val="17"/>
  </w:num>
  <w:num w:numId="12">
    <w:abstractNumId w:val="10"/>
  </w:num>
  <w:num w:numId="13">
    <w:abstractNumId w:val="5"/>
  </w:num>
  <w:num w:numId="14">
    <w:abstractNumId w:val="6"/>
  </w:num>
  <w:num w:numId="15">
    <w:abstractNumId w:val="12"/>
  </w:num>
  <w:num w:numId="16">
    <w:abstractNumId w:val="8"/>
  </w:num>
  <w:num w:numId="17">
    <w:abstractNumId w:val="9"/>
  </w:num>
  <w:num w:numId="18">
    <w:abstractNumId w:val="1"/>
  </w:num>
  <w:num w:numId="19">
    <w:abstractNumId w:val="16"/>
  </w:num>
  <w:num w:numId="20">
    <w:abstractNumId w:val="2"/>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07"/>
    <w:rsid w:val="000000D2"/>
    <w:rsid w:val="00001019"/>
    <w:rsid w:val="00001215"/>
    <w:rsid w:val="00001869"/>
    <w:rsid w:val="0000653E"/>
    <w:rsid w:val="00006B7C"/>
    <w:rsid w:val="00007653"/>
    <w:rsid w:val="00007808"/>
    <w:rsid w:val="00007FD8"/>
    <w:rsid w:val="0001067D"/>
    <w:rsid w:val="0001138C"/>
    <w:rsid w:val="0001191E"/>
    <w:rsid w:val="00012ABA"/>
    <w:rsid w:val="000138AD"/>
    <w:rsid w:val="000138C2"/>
    <w:rsid w:val="00013AED"/>
    <w:rsid w:val="00014F1E"/>
    <w:rsid w:val="0001585A"/>
    <w:rsid w:val="00024B11"/>
    <w:rsid w:val="00024B69"/>
    <w:rsid w:val="00026C8A"/>
    <w:rsid w:val="00030CA2"/>
    <w:rsid w:val="00031D85"/>
    <w:rsid w:val="0003387A"/>
    <w:rsid w:val="00034D7B"/>
    <w:rsid w:val="00040E76"/>
    <w:rsid w:val="00041C65"/>
    <w:rsid w:val="00044724"/>
    <w:rsid w:val="00045ACF"/>
    <w:rsid w:val="00047DA6"/>
    <w:rsid w:val="00051161"/>
    <w:rsid w:val="00051959"/>
    <w:rsid w:val="00051D14"/>
    <w:rsid w:val="00052250"/>
    <w:rsid w:val="00052467"/>
    <w:rsid w:val="0005285D"/>
    <w:rsid w:val="00054AA5"/>
    <w:rsid w:val="00054F37"/>
    <w:rsid w:val="00056189"/>
    <w:rsid w:val="00063A16"/>
    <w:rsid w:val="00063AE6"/>
    <w:rsid w:val="00067E67"/>
    <w:rsid w:val="000709DF"/>
    <w:rsid w:val="0007188B"/>
    <w:rsid w:val="0007229B"/>
    <w:rsid w:val="0007234E"/>
    <w:rsid w:val="00072D61"/>
    <w:rsid w:val="0007417C"/>
    <w:rsid w:val="00074783"/>
    <w:rsid w:val="0008009B"/>
    <w:rsid w:val="00082E58"/>
    <w:rsid w:val="00090173"/>
    <w:rsid w:val="00093204"/>
    <w:rsid w:val="000933CA"/>
    <w:rsid w:val="00094526"/>
    <w:rsid w:val="00094EB7"/>
    <w:rsid w:val="000956A5"/>
    <w:rsid w:val="000969E3"/>
    <w:rsid w:val="000A002E"/>
    <w:rsid w:val="000A0DC6"/>
    <w:rsid w:val="000A21EF"/>
    <w:rsid w:val="000A350A"/>
    <w:rsid w:val="000B4D2B"/>
    <w:rsid w:val="000B5591"/>
    <w:rsid w:val="000B59DC"/>
    <w:rsid w:val="000C05EC"/>
    <w:rsid w:val="000C3EFA"/>
    <w:rsid w:val="000C68D6"/>
    <w:rsid w:val="000C700E"/>
    <w:rsid w:val="000D2B7E"/>
    <w:rsid w:val="000D3F73"/>
    <w:rsid w:val="000E1279"/>
    <w:rsid w:val="000E127D"/>
    <w:rsid w:val="000E14A9"/>
    <w:rsid w:val="000E17FA"/>
    <w:rsid w:val="000E1E29"/>
    <w:rsid w:val="000E5939"/>
    <w:rsid w:val="000E76F6"/>
    <w:rsid w:val="000F02E5"/>
    <w:rsid w:val="000F2E8C"/>
    <w:rsid w:val="000F48D9"/>
    <w:rsid w:val="000F6DAB"/>
    <w:rsid w:val="00100B84"/>
    <w:rsid w:val="001028C6"/>
    <w:rsid w:val="001052B8"/>
    <w:rsid w:val="00105A89"/>
    <w:rsid w:val="00106E5B"/>
    <w:rsid w:val="001124B8"/>
    <w:rsid w:val="0011309A"/>
    <w:rsid w:val="00114AAE"/>
    <w:rsid w:val="00115B3E"/>
    <w:rsid w:val="00116C7F"/>
    <w:rsid w:val="0012376E"/>
    <w:rsid w:val="001246C0"/>
    <w:rsid w:val="00126A60"/>
    <w:rsid w:val="00131996"/>
    <w:rsid w:val="00131FF7"/>
    <w:rsid w:val="00134572"/>
    <w:rsid w:val="00134AE4"/>
    <w:rsid w:val="00134EA1"/>
    <w:rsid w:val="00135EC3"/>
    <w:rsid w:val="00135FE7"/>
    <w:rsid w:val="001409E3"/>
    <w:rsid w:val="00141428"/>
    <w:rsid w:val="00142385"/>
    <w:rsid w:val="00144717"/>
    <w:rsid w:val="00145B31"/>
    <w:rsid w:val="00146580"/>
    <w:rsid w:val="00147D17"/>
    <w:rsid w:val="001512C6"/>
    <w:rsid w:val="00152588"/>
    <w:rsid w:val="00152EAC"/>
    <w:rsid w:val="00155AA9"/>
    <w:rsid w:val="00155C69"/>
    <w:rsid w:val="0015652F"/>
    <w:rsid w:val="00156C8B"/>
    <w:rsid w:val="00157C57"/>
    <w:rsid w:val="001625B3"/>
    <w:rsid w:val="0016458C"/>
    <w:rsid w:val="001652C9"/>
    <w:rsid w:val="00165688"/>
    <w:rsid w:val="00171CA9"/>
    <w:rsid w:val="00171FC1"/>
    <w:rsid w:val="0017349C"/>
    <w:rsid w:val="001758E8"/>
    <w:rsid w:val="00175B5F"/>
    <w:rsid w:val="00177FD9"/>
    <w:rsid w:val="00181968"/>
    <w:rsid w:val="0018267A"/>
    <w:rsid w:val="001839D5"/>
    <w:rsid w:val="0018506A"/>
    <w:rsid w:val="00187650"/>
    <w:rsid w:val="00193561"/>
    <w:rsid w:val="00193DB0"/>
    <w:rsid w:val="00194E63"/>
    <w:rsid w:val="00194FCA"/>
    <w:rsid w:val="001A1031"/>
    <w:rsid w:val="001A168E"/>
    <w:rsid w:val="001A2B05"/>
    <w:rsid w:val="001A2EE1"/>
    <w:rsid w:val="001A3856"/>
    <w:rsid w:val="001A41CD"/>
    <w:rsid w:val="001A5178"/>
    <w:rsid w:val="001A6864"/>
    <w:rsid w:val="001A767D"/>
    <w:rsid w:val="001B2766"/>
    <w:rsid w:val="001B4898"/>
    <w:rsid w:val="001B4A0C"/>
    <w:rsid w:val="001B7230"/>
    <w:rsid w:val="001C25C2"/>
    <w:rsid w:val="001C26AF"/>
    <w:rsid w:val="001C4281"/>
    <w:rsid w:val="001C5D44"/>
    <w:rsid w:val="001C5DF4"/>
    <w:rsid w:val="001D02AD"/>
    <w:rsid w:val="001D0DF9"/>
    <w:rsid w:val="001D121A"/>
    <w:rsid w:val="001D5977"/>
    <w:rsid w:val="001D5FD5"/>
    <w:rsid w:val="001D73A0"/>
    <w:rsid w:val="001D7D87"/>
    <w:rsid w:val="001E0AAE"/>
    <w:rsid w:val="001E0F29"/>
    <w:rsid w:val="001E1BE7"/>
    <w:rsid w:val="001E5AD9"/>
    <w:rsid w:val="001F3CC5"/>
    <w:rsid w:val="001F5D4D"/>
    <w:rsid w:val="00200A9A"/>
    <w:rsid w:val="0020195D"/>
    <w:rsid w:val="002056D1"/>
    <w:rsid w:val="00207B16"/>
    <w:rsid w:val="002100CD"/>
    <w:rsid w:val="00210ED8"/>
    <w:rsid w:val="00211E43"/>
    <w:rsid w:val="00212AE5"/>
    <w:rsid w:val="00212E36"/>
    <w:rsid w:val="00215328"/>
    <w:rsid w:val="00216BB3"/>
    <w:rsid w:val="00217359"/>
    <w:rsid w:val="00220A39"/>
    <w:rsid w:val="00221159"/>
    <w:rsid w:val="0022414C"/>
    <w:rsid w:val="00224D5C"/>
    <w:rsid w:val="00227243"/>
    <w:rsid w:val="00227759"/>
    <w:rsid w:val="00232F52"/>
    <w:rsid w:val="0023338B"/>
    <w:rsid w:val="00233BA9"/>
    <w:rsid w:val="002402EB"/>
    <w:rsid w:val="0024103C"/>
    <w:rsid w:val="002420F6"/>
    <w:rsid w:val="0024542F"/>
    <w:rsid w:val="00245855"/>
    <w:rsid w:val="00250BB4"/>
    <w:rsid w:val="00252008"/>
    <w:rsid w:val="002530F1"/>
    <w:rsid w:val="0025377A"/>
    <w:rsid w:val="00253810"/>
    <w:rsid w:val="00260259"/>
    <w:rsid w:val="0026107D"/>
    <w:rsid w:val="00261A65"/>
    <w:rsid w:val="00262421"/>
    <w:rsid w:val="00262C49"/>
    <w:rsid w:val="00263CC5"/>
    <w:rsid w:val="00265026"/>
    <w:rsid w:val="002664BC"/>
    <w:rsid w:val="00270749"/>
    <w:rsid w:val="00271B8B"/>
    <w:rsid w:val="00273275"/>
    <w:rsid w:val="002736FB"/>
    <w:rsid w:val="00277AE6"/>
    <w:rsid w:val="0028048F"/>
    <w:rsid w:val="00280923"/>
    <w:rsid w:val="002833CB"/>
    <w:rsid w:val="002866FA"/>
    <w:rsid w:val="00290ABE"/>
    <w:rsid w:val="00291A2B"/>
    <w:rsid w:val="00291CFB"/>
    <w:rsid w:val="002929E0"/>
    <w:rsid w:val="0029393B"/>
    <w:rsid w:val="0029611F"/>
    <w:rsid w:val="002A0AA2"/>
    <w:rsid w:val="002A23B0"/>
    <w:rsid w:val="002A2454"/>
    <w:rsid w:val="002A3173"/>
    <w:rsid w:val="002A5207"/>
    <w:rsid w:val="002A7711"/>
    <w:rsid w:val="002B24E3"/>
    <w:rsid w:val="002B253E"/>
    <w:rsid w:val="002B28B7"/>
    <w:rsid w:val="002B37CE"/>
    <w:rsid w:val="002B4054"/>
    <w:rsid w:val="002B736D"/>
    <w:rsid w:val="002B79D4"/>
    <w:rsid w:val="002C1C94"/>
    <w:rsid w:val="002C1EFA"/>
    <w:rsid w:val="002C5495"/>
    <w:rsid w:val="002C55D4"/>
    <w:rsid w:val="002C5869"/>
    <w:rsid w:val="002C78B4"/>
    <w:rsid w:val="002D0A29"/>
    <w:rsid w:val="002D22A6"/>
    <w:rsid w:val="002D4930"/>
    <w:rsid w:val="002D6C11"/>
    <w:rsid w:val="002E0CE8"/>
    <w:rsid w:val="002E113A"/>
    <w:rsid w:val="002E1413"/>
    <w:rsid w:val="002E1BCB"/>
    <w:rsid w:val="002E1CBE"/>
    <w:rsid w:val="002E28BB"/>
    <w:rsid w:val="002E290E"/>
    <w:rsid w:val="002E294A"/>
    <w:rsid w:val="002E2AEE"/>
    <w:rsid w:val="002E32CC"/>
    <w:rsid w:val="002E4990"/>
    <w:rsid w:val="002E4DAE"/>
    <w:rsid w:val="002E5EF0"/>
    <w:rsid w:val="002E5F45"/>
    <w:rsid w:val="002E689F"/>
    <w:rsid w:val="002E7A36"/>
    <w:rsid w:val="002F0358"/>
    <w:rsid w:val="002F03A9"/>
    <w:rsid w:val="002F121A"/>
    <w:rsid w:val="002F2E7B"/>
    <w:rsid w:val="002F4520"/>
    <w:rsid w:val="002F6762"/>
    <w:rsid w:val="002F6EE1"/>
    <w:rsid w:val="00302083"/>
    <w:rsid w:val="00302821"/>
    <w:rsid w:val="00304084"/>
    <w:rsid w:val="00306778"/>
    <w:rsid w:val="003069EC"/>
    <w:rsid w:val="00307B0F"/>
    <w:rsid w:val="00311ACC"/>
    <w:rsid w:val="00312EAC"/>
    <w:rsid w:val="00316AFE"/>
    <w:rsid w:val="003170C6"/>
    <w:rsid w:val="00320773"/>
    <w:rsid w:val="00325B4A"/>
    <w:rsid w:val="00326109"/>
    <w:rsid w:val="0033130A"/>
    <w:rsid w:val="003369B2"/>
    <w:rsid w:val="00336C63"/>
    <w:rsid w:val="00340F58"/>
    <w:rsid w:val="00341FA1"/>
    <w:rsid w:val="00342F73"/>
    <w:rsid w:val="0034432B"/>
    <w:rsid w:val="00347422"/>
    <w:rsid w:val="00350447"/>
    <w:rsid w:val="0035228F"/>
    <w:rsid w:val="00353C7C"/>
    <w:rsid w:val="00354F52"/>
    <w:rsid w:val="00357399"/>
    <w:rsid w:val="00357CD2"/>
    <w:rsid w:val="0036106F"/>
    <w:rsid w:val="00364D76"/>
    <w:rsid w:val="003654CE"/>
    <w:rsid w:val="0036609D"/>
    <w:rsid w:val="00366A09"/>
    <w:rsid w:val="00366EDB"/>
    <w:rsid w:val="0036701B"/>
    <w:rsid w:val="00370D97"/>
    <w:rsid w:val="00372C4A"/>
    <w:rsid w:val="003765BF"/>
    <w:rsid w:val="0037752C"/>
    <w:rsid w:val="00377CF5"/>
    <w:rsid w:val="00377DD4"/>
    <w:rsid w:val="003800BE"/>
    <w:rsid w:val="00380544"/>
    <w:rsid w:val="00381002"/>
    <w:rsid w:val="0038168F"/>
    <w:rsid w:val="003827BA"/>
    <w:rsid w:val="00383C3F"/>
    <w:rsid w:val="003853D7"/>
    <w:rsid w:val="00385BFE"/>
    <w:rsid w:val="00387641"/>
    <w:rsid w:val="00387E63"/>
    <w:rsid w:val="0039007F"/>
    <w:rsid w:val="0039163E"/>
    <w:rsid w:val="003930A0"/>
    <w:rsid w:val="00394BF7"/>
    <w:rsid w:val="00395A50"/>
    <w:rsid w:val="0039610D"/>
    <w:rsid w:val="00396B11"/>
    <w:rsid w:val="00397CAF"/>
    <w:rsid w:val="003A138A"/>
    <w:rsid w:val="003A265A"/>
    <w:rsid w:val="003A6C54"/>
    <w:rsid w:val="003B2E73"/>
    <w:rsid w:val="003B3FE6"/>
    <w:rsid w:val="003B405B"/>
    <w:rsid w:val="003B5057"/>
    <w:rsid w:val="003B505C"/>
    <w:rsid w:val="003B5A7A"/>
    <w:rsid w:val="003B6461"/>
    <w:rsid w:val="003B6A2D"/>
    <w:rsid w:val="003C1303"/>
    <w:rsid w:val="003C187A"/>
    <w:rsid w:val="003C3058"/>
    <w:rsid w:val="003C3E6B"/>
    <w:rsid w:val="003C50FD"/>
    <w:rsid w:val="003C5576"/>
    <w:rsid w:val="003C55DA"/>
    <w:rsid w:val="003D1E19"/>
    <w:rsid w:val="003D1F92"/>
    <w:rsid w:val="003D278F"/>
    <w:rsid w:val="003D34F5"/>
    <w:rsid w:val="003D3620"/>
    <w:rsid w:val="003D40A1"/>
    <w:rsid w:val="003D553A"/>
    <w:rsid w:val="003D6F48"/>
    <w:rsid w:val="003E0538"/>
    <w:rsid w:val="003E0C72"/>
    <w:rsid w:val="003E1CB4"/>
    <w:rsid w:val="003E5285"/>
    <w:rsid w:val="003E5FA5"/>
    <w:rsid w:val="003E6AED"/>
    <w:rsid w:val="003F226C"/>
    <w:rsid w:val="003F29AB"/>
    <w:rsid w:val="003F3118"/>
    <w:rsid w:val="003F6970"/>
    <w:rsid w:val="003F6A6F"/>
    <w:rsid w:val="003F6CB3"/>
    <w:rsid w:val="004006A5"/>
    <w:rsid w:val="00402320"/>
    <w:rsid w:val="00402437"/>
    <w:rsid w:val="004027E7"/>
    <w:rsid w:val="00403425"/>
    <w:rsid w:val="00403450"/>
    <w:rsid w:val="00405E8A"/>
    <w:rsid w:val="0040649B"/>
    <w:rsid w:val="004069C7"/>
    <w:rsid w:val="00407935"/>
    <w:rsid w:val="00410AB8"/>
    <w:rsid w:val="00411269"/>
    <w:rsid w:val="0042032E"/>
    <w:rsid w:val="00421E6C"/>
    <w:rsid w:val="0042574F"/>
    <w:rsid w:val="00425C5F"/>
    <w:rsid w:val="00433014"/>
    <w:rsid w:val="00435CC8"/>
    <w:rsid w:val="00436776"/>
    <w:rsid w:val="00441E0E"/>
    <w:rsid w:val="00445024"/>
    <w:rsid w:val="0044502F"/>
    <w:rsid w:val="00446257"/>
    <w:rsid w:val="00451C03"/>
    <w:rsid w:val="00452864"/>
    <w:rsid w:val="00452D89"/>
    <w:rsid w:val="00452E75"/>
    <w:rsid w:val="0045358F"/>
    <w:rsid w:val="00453677"/>
    <w:rsid w:val="004537F2"/>
    <w:rsid w:val="00454E07"/>
    <w:rsid w:val="00455010"/>
    <w:rsid w:val="00455176"/>
    <w:rsid w:val="004558EF"/>
    <w:rsid w:val="00455BD6"/>
    <w:rsid w:val="0045667F"/>
    <w:rsid w:val="00456DC8"/>
    <w:rsid w:val="00465695"/>
    <w:rsid w:val="00467271"/>
    <w:rsid w:val="004678FA"/>
    <w:rsid w:val="00470C77"/>
    <w:rsid w:val="0047281C"/>
    <w:rsid w:val="00472A74"/>
    <w:rsid w:val="00474604"/>
    <w:rsid w:val="00475680"/>
    <w:rsid w:val="0047774C"/>
    <w:rsid w:val="00477C6B"/>
    <w:rsid w:val="00477CB5"/>
    <w:rsid w:val="00481D67"/>
    <w:rsid w:val="00482D79"/>
    <w:rsid w:val="00483440"/>
    <w:rsid w:val="00483544"/>
    <w:rsid w:val="00483A08"/>
    <w:rsid w:val="00485617"/>
    <w:rsid w:val="00486341"/>
    <w:rsid w:val="00486B7E"/>
    <w:rsid w:val="00492413"/>
    <w:rsid w:val="004936E2"/>
    <w:rsid w:val="00494255"/>
    <w:rsid w:val="00494A18"/>
    <w:rsid w:val="00495008"/>
    <w:rsid w:val="00496460"/>
    <w:rsid w:val="004967D4"/>
    <w:rsid w:val="004A1D7F"/>
    <w:rsid w:val="004A2E91"/>
    <w:rsid w:val="004A5935"/>
    <w:rsid w:val="004A6136"/>
    <w:rsid w:val="004B0174"/>
    <w:rsid w:val="004B4EF2"/>
    <w:rsid w:val="004B60A7"/>
    <w:rsid w:val="004B7BBB"/>
    <w:rsid w:val="004C19B4"/>
    <w:rsid w:val="004C3F9C"/>
    <w:rsid w:val="004C6AE1"/>
    <w:rsid w:val="004C7F7D"/>
    <w:rsid w:val="004D02A1"/>
    <w:rsid w:val="004D038A"/>
    <w:rsid w:val="004D0D99"/>
    <w:rsid w:val="004D1B60"/>
    <w:rsid w:val="004D2537"/>
    <w:rsid w:val="004D2C51"/>
    <w:rsid w:val="004D4B84"/>
    <w:rsid w:val="004D6965"/>
    <w:rsid w:val="004E1B44"/>
    <w:rsid w:val="004E227B"/>
    <w:rsid w:val="004E3819"/>
    <w:rsid w:val="004F10E5"/>
    <w:rsid w:val="004F406E"/>
    <w:rsid w:val="004F62C8"/>
    <w:rsid w:val="004F6412"/>
    <w:rsid w:val="004F64E2"/>
    <w:rsid w:val="004F7050"/>
    <w:rsid w:val="004F722B"/>
    <w:rsid w:val="004F7878"/>
    <w:rsid w:val="004F78A4"/>
    <w:rsid w:val="00501E12"/>
    <w:rsid w:val="00501E4A"/>
    <w:rsid w:val="00504CE1"/>
    <w:rsid w:val="005052DA"/>
    <w:rsid w:val="005054F6"/>
    <w:rsid w:val="005059BB"/>
    <w:rsid w:val="00512B3D"/>
    <w:rsid w:val="005145BF"/>
    <w:rsid w:val="00516C7D"/>
    <w:rsid w:val="00520269"/>
    <w:rsid w:val="00521E6E"/>
    <w:rsid w:val="005277DC"/>
    <w:rsid w:val="005317D3"/>
    <w:rsid w:val="00535016"/>
    <w:rsid w:val="00535117"/>
    <w:rsid w:val="00535A3D"/>
    <w:rsid w:val="00536B74"/>
    <w:rsid w:val="005409CB"/>
    <w:rsid w:val="0054170E"/>
    <w:rsid w:val="00541A90"/>
    <w:rsid w:val="00542D08"/>
    <w:rsid w:val="0054450C"/>
    <w:rsid w:val="00546FB4"/>
    <w:rsid w:val="00550C6D"/>
    <w:rsid w:val="00551112"/>
    <w:rsid w:val="00553C73"/>
    <w:rsid w:val="00556816"/>
    <w:rsid w:val="00556858"/>
    <w:rsid w:val="00556BB4"/>
    <w:rsid w:val="00557FC5"/>
    <w:rsid w:val="00561347"/>
    <w:rsid w:val="0056262C"/>
    <w:rsid w:val="0056519C"/>
    <w:rsid w:val="00565429"/>
    <w:rsid w:val="005667BC"/>
    <w:rsid w:val="005712E3"/>
    <w:rsid w:val="005717C5"/>
    <w:rsid w:val="00571C02"/>
    <w:rsid w:val="00573799"/>
    <w:rsid w:val="00576771"/>
    <w:rsid w:val="0058072D"/>
    <w:rsid w:val="0058372A"/>
    <w:rsid w:val="0058417B"/>
    <w:rsid w:val="00586810"/>
    <w:rsid w:val="00586E71"/>
    <w:rsid w:val="005875B4"/>
    <w:rsid w:val="00590721"/>
    <w:rsid w:val="00591805"/>
    <w:rsid w:val="00593934"/>
    <w:rsid w:val="00595691"/>
    <w:rsid w:val="005A00D7"/>
    <w:rsid w:val="005A0A96"/>
    <w:rsid w:val="005A1021"/>
    <w:rsid w:val="005A17A0"/>
    <w:rsid w:val="005A1F27"/>
    <w:rsid w:val="005A2690"/>
    <w:rsid w:val="005B31DC"/>
    <w:rsid w:val="005B5AB4"/>
    <w:rsid w:val="005B5CCE"/>
    <w:rsid w:val="005B5E8D"/>
    <w:rsid w:val="005B5F68"/>
    <w:rsid w:val="005B600C"/>
    <w:rsid w:val="005C0BC4"/>
    <w:rsid w:val="005C37CA"/>
    <w:rsid w:val="005C3B1F"/>
    <w:rsid w:val="005C6E0F"/>
    <w:rsid w:val="005D0718"/>
    <w:rsid w:val="005D0859"/>
    <w:rsid w:val="005D0FC9"/>
    <w:rsid w:val="005D4DAA"/>
    <w:rsid w:val="005D56DC"/>
    <w:rsid w:val="005D58C1"/>
    <w:rsid w:val="005D6243"/>
    <w:rsid w:val="005E1A18"/>
    <w:rsid w:val="005E3B5F"/>
    <w:rsid w:val="005E4E39"/>
    <w:rsid w:val="005E7BF6"/>
    <w:rsid w:val="005F28CD"/>
    <w:rsid w:val="005F2B36"/>
    <w:rsid w:val="005F2DDF"/>
    <w:rsid w:val="005F47B5"/>
    <w:rsid w:val="005F5F3C"/>
    <w:rsid w:val="005F70B8"/>
    <w:rsid w:val="00600E51"/>
    <w:rsid w:val="006047A1"/>
    <w:rsid w:val="006067DF"/>
    <w:rsid w:val="00606BA1"/>
    <w:rsid w:val="00616E00"/>
    <w:rsid w:val="00620962"/>
    <w:rsid w:val="006229CB"/>
    <w:rsid w:val="006234B4"/>
    <w:rsid w:val="00625BF6"/>
    <w:rsid w:val="00625FED"/>
    <w:rsid w:val="00630C39"/>
    <w:rsid w:val="00631401"/>
    <w:rsid w:val="00631CD0"/>
    <w:rsid w:val="00632A3D"/>
    <w:rsid w:val="00634C6D"/>
    <w:rsid w:val="006360B7"/>
    <w:rsid w:val="00640705"/>
    <w:rsid w:val="00641143"/>
    <w:rsid w:val="006416CA"/>
    <w:rsid w:val="00644CCC"/>
    <w:rsid w:val="00645477"/>
    <w:rsid w:val="00646120"/>
    <w:rsid w:val="006506C1"/>
    <w:rsid w:val="00650854"/>
    <w:rsid w:val="00651E17"/>
    <w:rsid w:val="00652BEC"/>
    <w:rsid w:val="006534DC"/>
    <w:rsid w:val="00653E9B"/>
    <w:rsid w:val="00653FD7"/>
    <w:rsid w:val="006543A2"/>
    <w:rsid w:val="00655813"/>
    <w:rsid w:val="006578C6"/>
    <w:rsid w:val="00660641"/>
    <w:rsid w:val="00660B38"/>
    <w:rsid w:val="00660B80"/>
    <w:rsid w:val="00660C92"/>
    <w:rsid w:val="00661ECD"/>
    <w:rsid w:val="00664BF4"/>
    <w:rsid w:val="00665703"/>
    <w:rsid w:val="00666526"/>
    <w:rsid w:val="006673B9"/>
    <w:rsid w:val="00670516"/>
    <w:rsid w:val="0067055B"/>
    <w:rsid w:val="00674D11"/>
    <w:rsid w:val="00674D48"/>
    <w:rsid w:val="00675BB4"/>
    <w:rsid w:val="00676419"/>
    <w:rsid w:val="00676D81"/>
    <w:rsid w:val="00683048"/>
    <w:rsid w:val="0068457D"/>
    <w:rsid w:val="00684663"/>
    <w:rsid w:val="006861EE"/>
    <w:rsid w:val="006876C6"/>
    <w:rsid w:val="0069013D"/>
    <w:rsid w:val="006911B4"/>
    <w:rsid w:val="00691EAA"/>
    <w:rsid w:val="00695DDD"/>
    <w:rsid w:val="00696069"/>
    <w:rsid w:val="006964FA"/>
    <w:rsid w:val="006971AA"/>
    <w:rsid w:val="006972F9"/>
    <w:rsid w:val="006A09F3"/>
    <w:rsid w:val="006A10E2"/>
    <w:rsid w:val="006A1D36"/>
    <w:rsid w:val="006A2633"/>
    <w:rsid w:val="006A28B5"/>
    <w:rsid w:val="006A2E05"/>
    <w:rsid w:val="006A47FD"/>
    <w:rsid w:val="006B18D6"/>
    <w:rsid w:val="006B5ECD"/>
    <w:rsid w:val="006B6BA1"/>
    <w:rsid w:val="006B6ED0"/>
    <w:rsid w:val="006C144D"/>
    <w:rsid w:val="006C272F"/>
    <w:rsid w:val="006C4C88"/>
    <w:rsid w:val="006C53BB"/>
    <w:rsid w:val="006C59D4"/>
    <w:rsid w:val="006C5A03"/>
    <w:rsid w:val="006C6CEE"/>
    <w:rsid w:val="006C74F2"/>
    <w:rsid w:val="006C79C1"/>
    <w:rsid w:val="006D2BE0"/>
    <w:rsid w:val="006D4BDE"/>
    <w:rsid w:val="006D60F9"/>
    <w:rsid w:val="006D6677"/>
    <w:rsid w:val="006E46E5"/>
    <w:rsid w:val="006E6F47"/>
    <w:rsid w:val="006E75E7"/>
    <w:rsid w:val="006F0E80"/>
    <w:rsid w:val="006F2279"/>
    <w:rsid w:val="006F310F"/>
    <w:rsid w:val="006F352A"/>
    <w:rsid w:val="006F390D"/>
    <w:rsid w:val="006F39F3"/>
    <w:rsid w:val="006F55DA"/>
    <w:rsid w:val="006F5B6A"/>
    <w:rsid w:val="006F69D9"/>
    <w:rsid w:val="00704B50"/>
    <w:rsid w:val="00706A6F"/>
    <w:rsid w:val="00713625"/>
    <w:rsid w:val="00714FD4"/>
    <w:rsid w:val="00717FB5"/>
    <w:rsid w:val="00720DB9"/>
    <w:rsid w:val="0072111E"/>
    <w:rsid w:val="00722EB7"/>
    <w:rsid w:val="00724421"/>
    <w:rsid w:val="007244FF"/>
    <w:rsid w:val="0072463F"/>
    <w:rsid w:val="00724F39"/>
    <w:rsid w:val="007259C0"/>
    <w:rsid w:val="00727BC8"/>
    <w:rsid w:val="007310BD"/>
    <w:rsid w:val="0073368F"/>
    <w:rsid w:val="00733BD5"/>
    <w:rsid w:val="00733E52"/>
    <w:rsid w:val="00734134"/>
    <w:rsid w:val="007341FE"/>
    <w:rsid w:val="007361F3"/>
    <w:rsid w:val="0073695E"/>
    <w:rsid w:val="00740A2E"/>
    <w:rsid w:val="00741106"/>
    <w:rsid w:val="0074114F"/>
    <w:rsid w:val="00745E76"/>
    <w:rsid w:val="00750A1F"/>
    <w:rsid w:val="00750B52"/>
    <w:rsid w:val="00751E89"/>
    <w:rsid w:val="00753E4B"/>
    <w:rsid w:val="007540EE"/>
    <w:rsid w:val="00757865"/>
    <w:rsid w:val="00757D17"/>
    <w:rsid w:val="007604FD"/>
    <w:rsid w:val="00765A33"/>
    <w:rsid w:val="00770DA6"/>
    <w:rsid w:val="00771546"/>
    <w:rsid w:val="00771C8F"/>
    <w:rsid w:val="0077355D"/>
    <w:rsid w:val="00773ADB"/>
    <w:rsid w:val="00774BA1"/>
    <w:rsid w:val="00776869"/>
    <w:rsid w:val="007776CA"/>
    <w:rsid w:val="007836A9"/>
    <w:rsid w:val="00785B79"/>
    <w:rsid w:val="00786241"/>
    <w:rsid w:val="00790DB3"/>
    <w:rsid w:val="007917C2"/>
    <w:rsid w:val="00793F8C"/>
    <w:rsid w:val="00794A60"/>
    <w:rsid w:val="0079683E"/>
    <w:rsid w:val="00796D94"/>
    <w:rsid w:val="007A151B"/>
    <w:rsid w:val="007A391A"/>
    <w:rsid w:val="007A3ABD"/>
    <w:rsid w:val="007A43D0"/>
    <w:rsid w:val="007A4BB6"/>
    <w:rsid w:val="007A5388"/>
    <w:rsid w:val="007B02B5"/>
    <w:rsid w:val="007B3E04"/>
    <w:rsid w:val="007B6A08"/>
    <w:rsid w:val="007B7360"/>
    <w:rsid w:val="007C0091"/>
    <w:rsid w:val="007C1CE7"/>
    <w:rsid w:val="007C5FC4"/>
    <w:rsid w:val="007C6147"/>
    <w:rsid w:val="007C7D26"/>
    <w:rsid w:val="007D04E7"/>
    <w:rsid w:val="007D1CEC"/>
    <w:rsid w:val="007D4D4F"/>
    <w:rsid w:val="007D7D67"/>
    <w:rsid w:val="007E00B4"/>
    <w:rsid w:val="007E01AE"/>
    <w:rsid w:val="007E191F"/>
    <w:rsid w:val="007E3247"/>
    <w:rsid w:val="007E50DF"/>
    <w:rsid w:val="007E5B7A"/>
    <w:rsid w:val="007E7824"/>
    <w:rsid w:val="007F0E70"/>
    <w:rsid w:val="007F1DDA"/>
    <w:rsid w:val="007F4480"/>
    <w:rsid w:val="007F4ECB"/>
    <w:rsid w:val="007F55DA"/>
    <w:rsid w:val="007F5C34"/>
    <w:rsid w:val="007F5D64"/>
    <w:rsid w:val="007F73B6"/>
    <w:rsid w:val="007F7C98"/>
    <w:rsid w:val="007F7C99"/>
    <w:rsid w:val="00801646"/>
    <w:rsid w:val="008016E6"/>
    <w:rsid w:val="00803102"/>
    <w:rsid w:val="00804886"/>
    <w:rsid w:val="0080630A"/>
    <w:rsid w:val="008069F6"/>
    <w:rsid w:val="00807B6C"/>
    <w:rsid w:val="008102AD"/>
    <w:rsid w:val="00813203"/>
    <w:rsid w:val="008161BF"/>
    <w:rsid w:val="0082085D"/>
    <w:rsid w:val="00820946"/>
    <w:rsid w:val="00820EA1"/>
    <w:rsid w:val="00821A73"/>
    <w:rsid w:val="00823B95"/>
    <w:rsid w:val="00823F9A"/>
    <w:rsid w:val="0082641A"/>
    <w:rsid w:val="00830D86"/>
    <w:rsid w:val="00832F2D"/>
    <w:rsid w:val="00833560"/>
    <w:rsid w:val="008344AF"/>
    <w:rsid w:val="00835482"/>
    <w:rsid w:val="008360F1"/>
    <w:rsid w:val="008367D1"/>
    <w:rsid w:val="00836CDB"/>
    <w:rsid w:val="00837500"/>
    <w:rsid w:val="008402ED"/>
    <w:rsid w:val="00841B33"/>
    <w:rsid w:val="00842C36"/>
    <w:rsid w:val="0084336F"/>
    <w:rsid w:val="00844372"/>
    <w:rsid w:val="00845D4C"/>
    <w:rsid w:val="008462E4"/>
    <w:rsid w:val="00846655"/>
    <w:rsid w:val="00850849"/>
    <w:rsid w:val="00853293"/>
    <w:rsid w:val="0085346B"/>
    <w:rsid w:val="008565C3"/>
    <w:rsid w:val="00856DA4"/>
    <w:rsid w:val="00860506"/>
    <w:rsid w:val="008620A5"/>
    <w:rsid w:val="00863344"/>
    <w:rsid w:val="00863A35"/>
    <w:rsid w:val="00863ED3"/>
    <w:rsid w:val="008650D1"/>
    <w:rsid w:val="00865A46"/>
    <w:rsid w:val="00865BE6"/>
    <w:rsid w:val="008703AA"/>
    <w:rsid w:val="00870B32"/>
    <w:rsid w:val="00871A86"/>
    <w:rsid w:val="00872042"/>
    <w:rsid w:val="008733F2"/>
    <w:rsid w:val="00873828"/>
    <w:rsid w:val="0087461C"/>
    <w:rsid w:val="00874A4E"/>
    <w:rsid w:val="0087725B"/>
    <w:rsid w:val="00877E81"/>
    <w:rsid w:val="00883CF3"/>
    <w:rsid w:val="00884DD0"/>
    <w:rsid w:val="00885935"/>
    <w:rsid w:val="00886B39"/>
    <w:rsid w:val="0088791B"/>
    <w:rsid w:val="008906AE"/>
    <w:rsid w:val="00890C3B"/>
    <w:rsid w:val="0089368B"/>
    <w:rsid w:val="00893E4D"/>
    <w:rsid w:val="00894693"/>
    <w:rsid w:val="008A29D6"/>
    <w:rsid w:val="008A4BDE"/>
    <w:rsid w:val="008B2D7C"/>
    <w:rsid w:val="008B49B1"/>
    <w:rsid w:val="008B50A9"/>
    <w:rsid w:val="008B60AD"/>
    <w:rsid w:val="008C0DF2"/>
    <w:rsid w:val="008C2949"/>
    <w:rsid w:val="008C4805"/>
    <w:rsid w:val="008C538A"/>
    <w:rsid w:val="008C5F85"/>
    <w:rsid w:val="008C6EED"/>
    <w:rsid w:val="008D2D94"/>
    <w:rsid w:val="008D2EA9"/>
    <w:rsid w:val="008D599F"/>
    <w:rsid w:val="008D5CE6"/>
    <w:rsid w:val="008E2E85"/>
    <w:rsid w:val="008E363C"/>
    <w:rsid w:val="008E4673"/>
    <w:rsid w:val="008E5E5A"/>
    <w:rsid w:val="008E7004"/>
    <w:rsid w:val="008F4026"/>
    <w:rsid w:val="008F4FB5"/>
    <w:rsid w:val="008F534B"/>
    <w:rsid w:val="008F57A4"/>
    <w:rsid w:val="008F609D"/>
    <w:rsid w:val="00901A09"/>
    <w:rsid w:val="00903D5E"/>
    <w:rsid w:val="0090662B"/>
    <w:rsid w:val="009100C9"/>
    <w:rsid w:val="00910334"/>
    <w:rsid w:val="00910EDD"/>
    <w:rsid w:val="00913246"/>
    <w:rsid w:val="00913E5B"/>
    <w:rsid w:val="00916332"/>
    <w:rsid w:val="0092362A"/>
    <w:rsid w:val="009265B2"/>
    <w:rsid w:val="00926FC1"/>
    <w:rsid w:val="00927198"/>
    <w:rsid w:val="00933110"/>
    <w:rsid w:val="00934BFD"/>
    <w:rsid w:val="0093741F"/>
    <w:rsid w:val="00945C37"/>
    <w:rsid w:val="009514DC"/>
    <w:rsid w:val="00954D16"/>
    <w:rsid w:val="00960230"/>
    <w:rsid w:val="009658AA"/>
    <w:rsid w:val="0096673F"/>
    <w:rsid w:val="00970E6C"/>
    <w:rsid w:val="00971122"/>
    <w:rsid w:val="009711AC"/>
    <w:rsid w:val="009752F4"/>
    <w:rsid w:val="00975E77"/>
    <w:rsid w:val="00977324"/>
    <w:rsid w:val="00982428"/>
    <w:rsid w:val="00983EFB"/>
    <w:rsid w:val="00983FEF"/>
    <w:rsid w:val="00984217"/>
    <w:rsid w:val="009843C8"/>
    <w:rsid w:val="00985291"/>
    <w:rsid w:val="0098566B"/>
    <w:rsid w:val="00990953"/>
    <w:rsid w:val="009927DC"/>
    <w:rsid w:val="009931B8"/>
    <w:rsid w:val="009939EF"/>
    <w:rsid w:val="00995D86"/>
    <w:rsid w:val="009971C1"/>
    <w:rsid w:val="009A0302"/>
    <w:rsid w:val="009A1413"/>
    <w:rsid w:val="009A3557"/>
    <w:rsid w:val="009A3E21"/>
    <w:rsid w:val="009A5C1F"/>
    <w:rsid w:val="009A6135"/>
    <w:rsid w:val="009A640B"/>
    <w:rsid w:val="009B3EA9"/>
    <w:rsid w:val="009B5630"/>
    <w:rsid w:val="009B589A"/>
    <w:rsid w:val="009B5ABD"/>
    <w:rsid w:val="009B6917"/>
    <w:rsid w:val="009B738B"/>
    <w:rsid w:val="009C0841"/>
    <w:rsid w:val="009C303F"/>
    <w:rsid w:val="009C67BD"/>
    <w:rsid w:val="009C7AA2"/>
    <w:rsid w:val="009C7D41"/>
    <w:rsid w:val="009D1763"/>
    <w:rsid w:val="009D45E9"/>
    <w:rsid w:val="009D67F0"/>
    <w:rsid w:val="009D724E"/>
    <w:rsid w:val="009E0938"/>
    <w:rsid w:val="009E2AFE"/>
    <w:rsid w:val="009E2B62"/>
    <w:rsid w:val="009E2D9F"/>
    <w:rsid w:val="009E35F0"/>
    <w:rsid w:val="009E4721"/>
    <w:rsid w:val="009E6528"/>
    <w:rsid w:val="009E6A97"/>
    <w:rsid w:val="009E7433"/>
    <w:rsid w:val="009F0BBB"/>
    <w:rsid w:val="009F43D7"/>
    <w:rsid w:val="009F47B7"/>
    <w:rsid w:val="009F48E7"/>
    <w:rsid w:val="009F533F"/>
    <w:rsid w:val="009F6403"/>
    <w:rsid w:val="009F77D9"/>
    <w:rsid w:val="009F7FF4"/>
    <w:rsid w:val="00A00F98"/>
    <w:rsid w:val="00A04D9A"/>
    <w:rsid w:val="00A056C5"/>
    <w:rsid w:val="00A056FF"/>
    <w:rsid w:val="00A0634B"/>
    <w:rsid w:val="00A068F7"/>
    <w:rsid w:val="00A077B9"/>
    <w:rsid w:val="00A108C2"/>
    <w:rsid w:val="00A1313C"/>
    <w:rsid w:val="00A13651"/>
    <w:rsid w:val="00A148CC"/>
    <w:rsid w:val="00A1688D"/>
    <w:rsid w:val="00A17DDA"/>
    <w:rsid w:val="00A20006"/>
    <w:rsid w:val="00A201CD"/>
    <w:rsid w:val="00A2032B"/>
    <w:rsid w:val="00A20F6D"/>
    <w:rsid w:val="00A2179B"/>
    <w:rsid w:val="00A21FC1"/>
    <w:rsid w:val="00A23507"/>
    <w:rsid w:val="00A240CD"/>
    <w:rsid w:val="00A245EE"/>
    <w:rsid w:val="00A24805"/>
    <w:rsid w:val="00A26C52"/>
    <w:rsid w:val="00A30C54"/>
    <w:rsid w:val="00A30E29"/>
    <w:rsid w:val="00A31CE6"/>
    <w:rsid w:val="00A325C6"/>
    <w:rsid w:val="00A33A92"/>
    <w:rsid w:val="00A33ED3"/>
    <w:rsid w:val="00A34519"/>
    <w:rsid w:val="00A34D94"/>
    <w:rsid w:val="00A35235"/>
    <w:rsid w:val="00A356EB"/>
    <w:rsid w:val="00A36806"/>
    <w:rsid w:val="00A36BF7"/>
    <w:rsid w:val="00A407A8"/>
    <w:rsid w:val="00A41DC3"/>
    <w:rsid w:val="00A46AE9"/>
    <w:rsid w:val="00A50685"/>
    <w:rsid w:val="00A50C7D"/>
    <w:rsid w:val="00A5156C"/>
    <w:rsid w:val="00A51A0E"/>
    <w:rsid w:val="00A51E51"/>
    <w:rsid w:val="00A5347B"/>
    <w:rsid w:val="00A536BA"/>
    <w:rsid w:val="00A538D9"/>
    <w:rsid w:val="00A5671E"/>
    <w:rsid w:val="00A64316"/>
    <w:rsid w:val="00A64AC4"/>
    <w:rsid w:val="00A6536F"/>
    <w:rsid w:val="00A653E4"/>
    <w:rsid w:val="00A711F7"/>
    <w:rsid w:val="00A717F7"/>
    <w:rsid w:val="00A7243C"/>
    <w:rsid w:val="00A741A7"/>
    <w:rsid w:val="00A76166"/>
    <w:rsid w:val="00A77430"/>
    <w:rsid w:val="00A77676"/>
    <w:rsid w:val="00A77D0C"/>
    <w:rsid w:val="00A818BC"/>
    <w:rsid w:val="00A82CBE"/>
    <w:rsid w:val="00A836C7"/>
    <w:rsid w:val="00A85C64"/>
    <w:rsid w:val="00A86A87"/>
    <w:rsid w:val="00A87D1A"/>
    <w:rsid w:val="00A92A03"/>
    <w:rsid w:val="00A94D6D"/>
    <w:rsid w:val="00A97066"/>
    <w:rsid w:val="00AA41D9"/>
    <w:rsid w:val="00AA48A9"/>
    <w:rsid w:val="00AA739C"/>
    <w:rsid w:val="00AB16BD"/>
    <w:rsid w:val="00AB1E8B"/>
    <w:rsid w:val="00AB6B76"/>
    <w:rsid w:val="00AC4840"/>
    <w:rsid w:val="00AC5CCD"/>
    <w:rsid w:val="00AD2A07"/>
    <w:rsid w:val="00AD2A5D"/>
    <w:rsid w:val="00AD436B"/>
    <w:rsid w:val="00AD548E"/>
    <w:rsid w:val="00AD5EEB"/>
    <w:rsid w:val="00AD6B4D"/>
    <w:rsid w:val="00AD7C0C"/>
    <w:rsid w:val="00AE0BEB"/>
    <w:rsid w:val="00AE1305"/>
    <w:rsid w:val="00AE1D0A"/>
    <w:rsid w:val="00AE2B67"/>
    <w:rsid w:val="00AE427E"/>
    <w:rsid w:val="00AF0FE7"/>
    <w:rsid w:val="00AF1536"/>
    <w:rsid w:val="00AF1D88"/>
    <w:rsid w:val="00AF2539"/>
    <w:rsid w:val="00AF3E7D"/>
    <w:rsid w:val="00AF6A10"/>
    <w:rsid w:val="00B051C8"/>
    <w:rsid w:val="00B07A9B"/>
    <w:rsid w:val="00B10E50"/>
    <w:rsid w:val="00B1127B"/>
    <w:rsid w:val="00B11A8E"/>
    <w:rsid w:val="00B14791"/>
    <w:rsid w:val="00B15182"/>
    <w:rsid w:val="00B15EA2"/>
    <w:rsid w:val="00B165C5"/>
    <w:rsid w:val="00B2085C"/>
    <w:rsid w:val="00B214D7"/>
    <w:rsid w:val="00B25BD2"/>
    <w:rsid w:val="00B26413"/>
    <w:rsid w:val="00B34CF3"/>
    <w:rsid w:val="00B365DB"/>
    <w:rsid w:val="00B37ECC"/>
    <w:rsid w:val="00B40D07"/>
    <w:rsid w:val="00B43054"/>
    <w:rsid w:val="00B447A6"/>
    <w:rsid w:val="00B44809"/>
    <w:rsid w:val="00B47881"/>
    <w:rsid w:val="00B50179"/>
    <w:rsid w:val="00B52312"/>
    <w:rsid w:val="00B532FD"/>
    <w:rsid w:val="00B5419E"/>
    <w:rsid w:val="00B55352"/>
    <w:rsid w:val="00B60548"/>
    <w:rsid w:val="00B61A28"/>
    <w:rsid w:val="00B6223D"/>
    <w:rsid w:val="00B6269A"/>
    <w:rsid w:val="00B62886"/>
    <w:rsid w:val="00B636E9"/>
    <w:rsid w:val="00B66E77"/>
    <w:rsid w:val="00B71B3A"/>
    <w:rsid w:val="00B73250"/>
    <w:rsid w:val="00B75ADA"/>
    <w:rsid w:val="00B761A9"/>
    <w:rsid w:val="00B82651"/>
    <w:rsid w:val="00B826B2"/>
    <w:rsid w:val="00B833EB"/>
    <w:rsid w:val="00B83460"/>
    <w:rsid w:val="00B859C5"/>
    <w:rsid w:val="00B8659D"/>
    <w:rsid w:val="00B87100"/>
    <w:rsid w:val="00B872C6"/>
    <w:rsid w:val="00B906D9"/>
    <w:rsid w:val="00B91598"/>
    <w:rsid w:val="00B92FF8"/>
    <w:rsid w:val="00B93082"/>
    <w:rsid w:val="00B9392D"/>
    <w:rsid w:val="00B940A7"/>
    <w:rsid w:val="00B972EE"/>
    <w:rsid w:val="00BA04CA"/>
    <w:rsid w:val="00BA1FA3"/>
    <w:rsid w:val="00BA2363"/>
    <w:rsid w:val="00BA2FAD"/>
    <w:rsid w:val="00BA3711"/>
    <w:rsid w:val="00BA3780"/>
    <w:rsid w:val="00BA47E4"/>
    <w:rsid w:val="00BB09AC"/>
    <w:rsid w:val="00BB1F4E"/>
    <w:rsid w:val="00BB2EA7"/>
    <w:rsid w:val="00BB46F8"/>
    <w:rsid w:val="00BB7181"/>
    <w:rsid w:val="00BB76EB"/>
    <w:rsid w:val="00BC0D1E"/>
    <w:rsid w:val="00BC106F"/>
    <w:rsid w:val="00BC20DD"/>
    <w:rsid w:val="00BC4121"/>
    <w:rsid w:val="00BC51E3"/>
    <w:rsid w:val="00BC67EC"/>
    <w:rsid w:val="00BC6A66"/>
    <w:rsid w:val="00BD1F8E"/>
    <w:rsid w:val="00BD23B1"/>
    <w:rsid w:val="00BD24C7"/>
    <w:rsid w:val="00BD3EC2"/>
    <w:rsid w:val="00BD4935"/>
    <w:rsid w:val="00BD5E10"/>
    <w:rsid w:val="00BE1463"/>
    <w:rsid w:val="00BE360F"/>
    <w:rsid w:val="00BE55E7"/>
    <w:rsid w:val="00BE66EC"/>
    <w:rsid w:val="00BE6776"/>
    <w:rsid w:val="00BF10AB"/>
    <w:rsid w:val="00BF17AB"/>
    <w:rsid w:val="00BF39C0"/>
    <w:rsid w:val="00BF39FE"/>
    <w:rsid w:val="00BF41DE"/>
    <w:rsid w:val="00BF4408"/>
    <w:rsid w:val="00BF64AE"/>
    <w:rsid w:val="00BF7D2F"/>
    <w:rsid w:val="00C007B3"/>
    <w:rsid w:val="00C009CD"/>
    <w:rsid w:val="00C0370B"/>
    <w:rsid w:val="00C03A1F"/>
    <w:rsid w:val="00C04EC2"/>
    <w:rsid w:val="00C05FD3"/>
    <w:rsid w:val="00C122E2"/>
    <w:rsid w:val="00C130DC"/>
    <w:rsid w:val="00C15693"/>
    <w:rsid w:val="00C17F65"/>
    <w:rsid w:val="00C20D55"/>
    <w:rsid w:val="00C21213"/>
    <w:rsid w:val="00C22D5D"/>
    <w:rsid w:val="00C23543"/>
    <w:rsid w:val="00C240C8"/>
    <w:rsid w:val="00C249EC"/>
    <w:rsid w:val="00C24F34"/>
    <w:rsid w:val="00C25A44"/>
    <w:rsid w:val="00C25D99"/>
    <w:rsid w:val="00C27BAC"/>
    <w:rsid w:val="00C30725"/>
    <w:rsid w:val="00C31CA4"/>
    <w:rsid w:val="00C31D6A"/>
    <w:rsid w:val="00C32C91"/>
    <w:rsid w:val="00C333FD"/>
    <w:rsid w:val="00C33F0A"/>
    <w:rsid w:val="00C3558D"/>
    <w:rsid w:val="00C369F0"/>
    <w:rsid w:val="00C36DC2"/>
    <w:rsid w:val="00C374C1"/>
    <w:rsid w:val="00C37CE6"/>
    <w:rsid w:val="00C37CEA"/>
    <w:rsid w:val="00C4046C"/>
    <w:rsid w:val="00C40C9B"/>
    <w:rsid w:val="00C41282"/>
    <w:rsid w:val="00C41A0A"/>
    <w:rsid w:val="00C436FA"/>
    <w:rsid w:val="00C4471F"/>
    <w:rsid w:val="00C45447"/>
    <w:rsid w:val="00C50585"/>
    <w:rsid w:val="00C506DD"/>
    <w:rsid w:val="00C549FB"/>
    <w:rsid w:val="00C566FC"/>
    <w:rsid w:val="00C615FC"/>
    <w:rsid w:val="00C63FA7"/>
    <w:rsid w:val="00C73164"/>
    <w:rsid w:val="00C7325E"/>
    <w:rsid w:val="00C73ED9"/>
    <w:rsid w:val="00C749D7"/>
    <w:rsid w:val="00C765F9"/>
    <w:rsid w:val="00C778A8"/>
    <w:rsid w:val="00C82BDA"/>
    <w:rsid w:val="00C869E0"/>
    <w:rsid w:val="00C92313"/>
    <w:rsid w:val="00C93CB7"/>
    <w:rsid w:val="00C9547B"/>
    <w:rsid w:val="00C969CC"/>
    <w:rsid w:val="00C96E98"/>
    <w:rsid w:val="00CA2DD0"/>
    <w:rsid w:val="00CA6FC8"/>
    <w:rsid w:val="00CA780E"/>
    <w:rsid w:val="00CB32B8"/>
    <w:rsid w:val="00CB3CF6"/>
    <w:rsid w:val="00CB3DF8"/>
    <w:rsid w:val="00CC2202"/>
    <w:rsid w:val="00CC3869"/>
    <w:rsid w:val="00CC3EC0"/>
    <w:rsid w:val="00CD1A0D"/>
    <w:rsid w:val="00CD2E71"/>
    <w:rsid w:val="00CD4287"/>
    <w:rsid w:val="00CD42F0"/>
    <w:rsid w:val="00CD4AB4"/>
    <w:rsid w:val="00CD4EFA"/>
    <w:rsid w:val="00CE0279"/>
    <w:rsid w:val="00CE0541"/>
    <w:rsid w:val="00CE0CE0"/>
    <w:rsid w:val="00CE0E03"/>
    <w:rsid w:val="00CE43EF"/>
    <w:rsid w:val="00CE4518"/>
    <w:rsid w:val="00CE7F6A"/>
    <w:rsid w:val="00CF25FE"/>
    <w:rsid w:val="00CF56E4"/>
    <w:rsid w:val="00CF6AB2"/>
    <w:rsid w:val="00D002AD"/>
    <w:rsid w:val="00D00C43"/>
    <w:rsid w:val="00D016AB"/>
    <w:rsid w:val="00D02644"/>
    <w:rsid w:val="00D0267A"/>
    <w:rsid w:val="00D034BA"/>
    <w:rsid w:val="00D04B8F"/>
    <w:rsid w:val="00D06281"/>
    <w:rsid w:val="00D1003F"/>
    <w:rsid w:val="00D1546B"/>
    <w:rsid w:val="00D155F5"/>
    <w:rsid w:val="00D16E65"/>
    <w:rsid w:val="00D16FB8"/>
    <w:rsid w:val="00D17765"/>
    <w:rsid w:val="00D17892"/>
    <w:rsid w:val="00D22B43"/>
    <w:rsid w:val="00D23E25"/>
    <w:rsid w:val="00D34129"/>
    <w:rsid w:val="00D3673B"/>
    <w:rsid w:val="00D40F03"/>
    <w:rsid w:val="00D425C9"/>
    <w:rsid w:val="00D4327E"/>
    <w:rsid w:val="00D44283"/>
    <w:rsid w:val="00D4549E"/>
    <w:rsid w:val="00D46E4E"/>
    <w:rsid w:val="00D47065"/>
    <w:rsid w:val="00D5109C"/>
    <w:rsid w:val="00D518A6"/>
    <w:rsid w:val="00D52168"/>
    <w:rsid w:val="00D527BD"/>
    <w:rsid w:val="00D52CCE"/>
    <w:rsid w:val="00D536AE"/>
    <w:rsid w:val="00D53948"/>
    <w:rsid w:val="00D53A99"/>
    <w:rsid w:val="00D542A2"/>
    <w:rsid w:val="00D5448C"/>
    <w:rsid w:val="00D60683"/>
    <w:rsid w:val="00D60FE6"/>
    <w:rsid w:val="00D6236D"/>
    <w:rsid w:val="00D70084"/>
    <w:rsid w:val="00D723BC"/>
    <w:rsid w:val="00D749E6"/>
    <w:rsid w:val="00D758C1"/>
    <w:rsid w:val="00D77410"/>
    <w:rsid w:val="00D77A38"/>
    <w:rsid w:val="00D80E2C"/>
    <w:rsid w:val="00D81684"/>
    <w:rsid w:val="00D82F5F"/>
    <w:rsid w:val="00D83464"/>
    <w:rsid w:val="00D861A9"/>
    <w:rsid w:val="00D87104"/>
    <w:rsid w:val="00D87B77"/>
    <w:rsid w:val="00D93BD7"/>
    <w:rsid w:val="00D94204"/>
    <w:rsid w:val="00D94523"/>
    <w:rsid w:val="00D95D19"/>
    <w:rsid w:val="00D97E7F"/>
    <w:rsid w:val="00DA08AF"/>
    <w:rsid w:val="00DA0ADE"/>
    <w:rsid w:val="00DA1991"/>
    <w:rsid w:val="00DA2E41"/>
    <w:rsid w:val="00DA5CC2"/>
    <w:rsid w:val="00DA5D90"/>
    <w:rsid w:val="00DA67B3"/>
    <w:rsid w:val="00DA7F9F"/>
    <w:rsid w:val="00DB0E8D"/>
    <w:rsid w:val="00DB0FBE"/>
    <w:rsid w:val="00DB27BC"/>
    <w:rsid w:val="00DB2FF3"/>
    <w:rsid w:val="00DB5ECD"/>
    <w:rsid w:val="00DB67C6"/>
    <w:rsid w:val="00DB6FD9"/>
    <w:rsid w:val="00DC2D23"/>
    <w:rsid w:val="00DC4CE1"/>
    <w:rsid w:val="00DC66D7"/>
    <w:rsid w:val="00DC7034"/>
    <w:rsid w:val="00DC7510"/>
    <w:rsid w:val="00DD000E"/>
    <w:rsid w:val="00DD0114"/>
    <w:rsid w:val="00DD061C"/>
    <w:rsid w:val="00DD0DFE"/>
    <w:rsid w:val="00DD1FB4"/>
    <w:rsid w:val="00DD221B"/>
    <w:rsid w:val="00DD2A00"/>
    <w:rsid w:val="00DD490A"/>
    <w:rsid w:val="00DD5017"/>
    <w:rsid w:val="00DD64E6"/>
    <w:rsid w:val="00DE2430"/>
    <w:rsid w:val="00DE26E1"/>
    <w:rsid w:val="00DE2E5A"/>
    <w:rsid w:val="00DE65B4"/>
    <w:rsid w:val="00DE7ACD"/>
    <w:rsid w:val="00DF39F5"/>
    <w:rsid w:val="00DF46CF"/>
    <w:rsid w:val="00DF6A34"/>
    <w:rsid w:val="00E0190F"/>
    <w:rsid w:val="00E0197C"/>
    <w:rsid w:val="00E0279D"/>
    <w:rsid w:val="00E0358B"/>
    <w:rsid w:val="00E05EB9"/>
    <w:rsid w:val="00E06939"/>
    <w:rsid w:val="00E12C75"/>
    <w:rsid w:val="00E13404"/>
    <w:rsid w:val="00E135C6"/>
    <w:rsid w:val="00E136C9"/>
    <w:rsid w:val="00E14083"/>
    <w:rsid w:val="00E14A2B"/>
    <w:rsid w:val="00E155D3"/>
    <w:rsid w:val="00E16432"/>
    <w:rsid w:val="00E21474"/>
    <w:rsid w:val="00E22F32"/>
    <w:rsid w:val="00E2528C"/>
    <w:rsid w:val="00E25B65"/>
    <w:rsid w:val="00E308DB"/>
    <w:rsid w:val="00E308F6"/>
    <w:rsid w:val="00E3250D"/>
    <w:rsid w:val="00E3412C"/>
    <w:rsid w:val="00E341B6"/>
    <w:rsid w:val="00E34B4A"/>
    <w:rsid w:val="00E34D08"/>
    <w:rsid w:val="00E426B4"/>
    <w:rsid w:val="00E4538D"/>
    <w:rsid w:val="00E45FD6"/>
    <w:rsid w:val="00E46612"/>
    <w:rsid w:val="00E46C89"/>
    <w:rsid w:val="00E47BFD"/>
    <w:rsid w:val="00E578FB"/>
    <w:rsid w:val="00E649D2"/>
    <w:rsid w:val="00E67066"/>
    <w:rsid w:val="00E76E07"/>
    <w:rsid w:val="00E81AD1"/>
    <w:rsid w:val="00E82453"/>
    <w:rsid w:val="00E82640"/>
    <w:rsid w:val="00E871D2"/>
    <w:rsid w:val="00E90EE9"/>
    <w:rsid w:val="00E92BFE"/>
    <w:rsid w:val="00E92D72"/>
    <w:rsid w:val="00E9390B"/>
    <w:rsid w:val="00E93F1E"/>
    <w:rsid w:val="00E943D0"/>
    <w:rsid w:val="00E964CA"/>
    <w:rsid w:val="00E97F80"/>
    <w:rsid w:val="00EA0386"/>
    <w:rsid w:val="00EA458B"/>
    <w:rsid w:val="00EA538A"/>
    <w:rsid w:val="00EA5ED6"/>
    <w:rsid w:val="00EA5F36"/>
    <w:rsid w:val="00EA7D6D"/>
    <w:rsid w:val="00EB06F0"/>
    <w:rsid w:val="00EB3DE7"/>
    <w:rsid w:val="00EB4241"/>
    <w:rsid w:val="00EB4C88"/>
    <w:rsid w:val="00EB5BF8"/>
    <w:rsid w:val="00EB630B"/>
    <w:rsid w:val="00EB6A61"/>
    <w:rsid w:val="00EB6C86"/>
    <w:rsid w:val="00EC0FF1"/>
    <w:rsid w:val="00EC1310"/>
    <w:rsid w:val="00EC228C"/>
    <w:rsid w:val="00EC50E5"/>
    <w:rsid w:val="00EC573E"/>
    <w:rsid w:val="00ED1A89"/>
    <w:rsid w:val="00ED1F0E"/>
    <w:rsid w:val="00ED31E0"/>
    <w:rsid w:val="00EE129B"/>
    <w:rsid w:val="00EE54D4"/>
    <w:rsid w:val="00EE56CC"/>
    <w:rsid w:val="00EE5FD0"/>
    <w:rsid w:val="00EF0754"/>
    <w:rsid w:val="00EF52AD"/>
    <w:rsid w:val="00EF5DFB"/>
    <w:rsid w:val="00F006F0"/>
    <w:rsid w:val="00F01585"/>
    <w:rsid w:val="00F015C0"/>
    <w:rsid w:val="00F02E22"/>
    <w:rsid w:val="00F0544B"/>
    <w:rsid w:val="00F077B3"/>
    <w:rsid w:val="00F11FC6"/>
    <w:rsid w:val="00F154F9"/>
    <w:rsid w:val="00F15609"/>
    <w:rsid w:val="00F158FA"/>
    <w:rsid w:val="00F21CF1"/>
    <w:rsid w:val="00F3078A"/>
    <w:rsid w:val="00F313B1"/>
    <w:rsid w:val="00F32A9C"/>
    <w:rsid w:val="00F33621"/>
    <w:rsid w:val="00F3540D"/>
    <w:rsid w:val="00F36524"/>
    <w:rsid w:val="00F377E2"/>
    <w:rsid w:val="00F412FA"/>
    <w:rsid w:val="00F5074E"/>
    <w:rsid w:val="00F508D2"/>
    <w:rsid w:val="00F543ED"/>
    <w:rsid w:val="00F61B4E"/>
    <w:rsid w:val="00F620BE"/>
    <w:rsid w:val="00F62A38"/>
    <w:rsid w:val="00F6433A"/>
    <w:rsid w:val="00F6448E"/>
    <w:rsid w:val="00F65B2A"/>
    <w:rsid w:val="00F66210"/>
    <w:rsid w:val="00F6717B"/>
    <w:rsid w:val="00F6738F"/>
    <w:rsid w:val="00F67B3E"/>
    <w:rsid w:val="00F706D7"/>
    <w:rsid w:val="00F75D86"/>
    <w:rsid w:val="00F829E4"/>
    <w:rsid w:val="00F83F99"/>
    <w:rsid w:val="00F84E2A"/>
    <w:rsid w:val="00F869C5"/>
    <w:rsid w:val="00F87B8D"/>
    <w:rsid w:val="00F87FF4"/>
    <w:rsid w:val="00F9047B"/>
    <w:rsid w:val="00F908DD"/>
    <w:rsid w:val="00F9380A"/>
    <w:rsid w:val="00F93AB9"/>
    <w:rsid w:val="00F959EB"/>
    <w:rsid w:val="00F965AB"/>
    <w:rsid w:val="00F968BF"/>
    <w:rsid w:val="00F96B34"/>
    <w:rsid w:val="00FA4208"/>
    <w:rsid w:val="00FA4870"/>
    <w:rsid w:val="00FA67B8"/>
    <w:rsid w:val="00FA77E8"/>
    <w:rsid w:val="00FA7998"/>
    <w:rsid w:val="00FA7A1B"/>
    <w:rsid w:val="00FB096C"/>
    <w:rsid w:val="00FB118F"/>
    <w:rsid w:val="00FB128D"/>
    <w:rsid w:val="00FB3658"/>
    <w:rsid w:val="00FB3FF6"/>
    <w:rsid w:val="00FB4573"/>
    <w:rsid w:val="00FC2D9B"/>
    <w:rsid w:val="00FC3AB1"/>
    <w:rsid w:val="00FC4677"/>
    <w:rsid w:val="00FC47B1"/>
    <w:rsid w:val="00FD1598"/>
    <w:rsid w:val="00FD6243"/>
    <w:rsid w:val="00FD6976"/>
    <w:rsid w:val="00FD7CDC"/>
    <w:rsid w:val="00FD7F11"/>
    <w:rsid w:val="00FE0189"/>
    <w:rsid w:val="00FE1A73"/>
    <w:rsid w:val="00FE22C6"/>
    <w:rsid w:val="00FE2635"/>
    <w:rsid w:val="00FE3FE9"/>
    <w:rsid w:val="00FE463E"/>
    <w:rsid w:val="00FE7E18"/>
    <w:rsid w:val="00FF039E"/>
    <w:rsid w:val="00FF0FDE"/>
    <w:rsid w:val="00FF274B"/>
    <w:rsid w:val="00FF4ED9"/>
    <w:rsid w:val="00FF6AC8"/>
    <w:rsid w:val="00FF6DCF"/>
    <w:rsid w:val="00FF71BA"/>
    <w:rsid w:val="0DA86902"/>
    <w:rsid w:val="25C56418"/>
    <w:rsid w:val="2D15502E"/>
    <w:rsid w:val="2D5A6F63"/>
    <w:rsid w:val="4D3E02D8"/>
    <w:rsid w:val="5666FF98"/>
    <w:rsid w:val="56BF7B45"/>
    <w:rsid w:val="57196CF2"/>
    <w:rsid w:val="5BCDE856"/>
    <w:rsid w:val="5D334586"/>
    <w:rsid w:val="602E99CE"/>
    <w:rsid w:val="79E52A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1DFC"/>
  <w15:docId w15:val="{D58FEF99-1F02-4F59-9E3B-7C2C64E9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0A0"/>
    <w:rPr>
      <w:rFonts w:eastAsia="Times New Roman"/>
      <w:sz w:val="24"/>
      <w:szCs w:val="24"/>
      <w:lang w:eastAsia="zh-C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lang w:val="en-CA" w:eastAsia="en-US"/>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lang w:val="en-CA" w:eastAsia="en-US"/>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lang w:val="en-CA" w:eastAsia="en-US"/>
    </w:rPr>
  </w:style>
  <w:style w:type="paragraph" w:styleId="Caption">
    <w:name w:val="caption"/>
    <w:basedOn w:val="Normal"/>
    <w:next w:val="Normal"/>
    <w:uiPriority w:val="35"/>
    <w:unhideWhenUsed/>
    <w:qFormat/>
    <w:pPr>
      <w:spacing w:after="200" w:line="276" w:lineRule="auto"/>
    </w:pPr>
    <w:rPr>
      <w:rFonts w:eastAsia="Calibri"/>
      <w:b/>
      <w:bCs/>
      <w:sz w:val="20"/>
      <w:szCs w:val="20"/>
      <w:lang w:val="en-CA" w:eastAsia="en-US"/>
    </w:rPr>
  </w:style>
  <w:style w:type="paragraph" w:styleId="Footer">
    <w:name w:val="footer"/>
    <w:basedOn w:val="Normal"/>
    <w:link w:val="FooterChar"/>
    <w:uiPriority w:val="99"/>
    <w:unhideWhenUsed/>
    <w:qFormat/>
    <w:pPr>
      <w:tabs>
        <w:tab w:val="center" w:pos="4513"/>
        <w:tab w:val="right" w:pos="9026"/>
      </w:tabs>
    </w:pPr>
    <w:rPr>
      <w:lang w:val="en-CA" w:eastAsia="en-US"/>
    </w:rPr>
  </w:style>
  <w:style w:type="paragraph" w:styleId="Header">
    <w:name w:val="header"/>
    <w:basedOn w:val="Normal"/>
    <w:link w:val="HeaderChar"/>
    <w:uiPriority w:val="99"/>
    <w:unhideWhenUsed/>
    <w:qFormat/>
    <w:pPr>
      <w:tabs>
        <w:tab w:val="center" w:pos="4513"/>
        <w:tab w:val="right" w:pos="9026"/>
      </w:tabs>
    </w:pPr>
    <w:rPr>
      <w:lang w:val="en-CA" w:eastAsia="en-U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Pr>
      <w:lang w:val="en-CA" w:eastAsia="en-US"/>
    </w:rPr>
  </w:style>
  <w:style w:type="paragraph" w:styleId="Title">
    <w:name w:val="Title"/>
    <w:basedOn w:val="Normal"/>
    <w:next w:val="Normal"/>
    <w:link w:val="TitleChar"/>
    <w:uiPriority w:val="10"/>
    <w:qFormat/>
    <w:pPr>
      <w:spacing w:before="240" w:after="60" w:line="276" w:lineRule="auto"/>
      <w:jc w:val="center"/>
      <w:outlineLvl w:val="0"/>
    </w:pPr>
    <w:rPr>
      <w:rFonts w:ascii="Cambria" w:hAnsi="Cambria"/>
      <w:b/>
      <w:bCs/>
      <w:kern w:val="28"/>
      <w:sz w:val="32"/>
      <w:szCs w:val="32"/>
      <w:lang w:val="en-CA" w:eastAsia="en-US"/>
    </w:rPr>
  </w:style>
  <w:style w:type="paragraph" w:styleId="TOC1">
    <w:name w:val="toc 1"/>
    <w:basedOn w:val="Normal"/>
    <w:next w:val="Normal"/>
    <w:autoRedefine/>
    <w:uiPriority w:val="39"/>
    <w:unhideWhenUsed/>
    <w:qFormat/>
    <w:pPr>
      <w:spacing w:before="120"/>
    </w:pPr>
    <w:rPr>
      <w:rFonts w:asciiTheme="minorHAnsi" w:hAnsiTheme="minorHAnsi" w:cstheme="minorHAnsi"/>
      <w:b/>
      <w:bCs/>
      <w:i/>
      <w:iCs/>
    </w:rPr>
  </w:style>
  <w:style w:type="paragraph" w:styleId="TOC2">
    <w:name w:val="toc 2"/>
    <w:basedOn w:val="Normal"/>
    <w:next w:val="Normal"/>
    <w:autoRedefine/>
    <w:uiPriority w:val="39"/>
    <w:unhideWhenUsed/>
    <w:qFormat/>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qFormat/>
    <w:pPr>
      <w:ind w:left="480"/>
    </w:pPr>
    <w:rPr>
      <w:rFonts w:asciiTheme="minorHAnsi" w:hAnsiTheme="minorHAnsi" w:cstheme="minorHAnsi"/>
      <w:sz w:val="20"/>
      <w:szCs w:val="20"/>
    </w:rPr>
  </w:style>
  <w:style w:type="paragraph" w:styleId="NoSpacing">
    <w:name w:val="No Spacing"/>
    <w:link w:val="NoSpacingChar"/>
    <w:uiPriority w:val="1"/>
    <w:qFormat/>
    <w:pPr>
      <w:jc w:val="both"/>
    </w:pPr>
    <w:rPr>
      <w:rFonts w:ascii="Calibri" w:eastAsia="MS Mincho" w:hAnsi="Calibri"/>
      <w:sz w:val="24"/>
      <w:szCs w:val="22"/>
      <w:lang w:val="en-GB" w:eastAsia="en-GB"/>
    </w:rPr>
  </w:style>
  <w:style w:type="character" w:customStyle="1" w:styleId="NoSpacingChar">
    <w:name w:val="No Spacing Char"/>
    <w:basedOn w:val="DefaultParagraphFont"/>
    <w:link w:val="NoSpacing"/>
    <w:uiPriority w:val="1"/>
    <w:qFormat/>
    <w:rPr>
      <w:rFonts w:ascii="Calibri" w:eastAsia="MS Mincho" w:hAnsi="Calibri" w:cs="Times New Roman"/>
      <w:sz w:val="24"/>
      <w:lang w:eastAsia="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paragraph" w:customStyle="1" w:styleId="Default">
    <w:name w:val="Default"/>
    <w:qFormat/>
    <w:pPr>
      <w:autoSpaceDE w:val="0"/>
      <w:autoSpaceDN w:val="0"/>
      <w:adjustRightInd w:val="0"/>
    </w:pPr>
    <w:rPr>
      <w:rFonts w:eastAsia="Calibri"/>
      <w:color w:val="000000"/>
      <w:sz w:val="24"/>
      <w:szCs w:val="24"/>
    </w:rPr>
  </w:style>
  <w:style w:type="paragraph" w:customStyle="1" w:styleId="TOCHeading1">
    <w:name w:val="TOC Heading1"/>
    <w:basedOn w:val="Heading1"/>
    <w:next w:val="Normal"/>
    <w:uiPriority w:val="39"/>
    <w:unhideWhenUsed/>
    <w:qFormat/>
    <w:pPr>
      <w:outlineLvl w:val="9"/>
    </w:pPr>
    <w:rPr>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table" w:customStyle="1" w:styleId="GridTable6Colorful-Accent21">
    <w:name w:val="Grid Table 6 Colorful - Accent 21"/>
    <w:basedOn w:val="TableNormal"/>
    <w:uiPriority w:val="51"/>
    <w:qFormat/>
    <w:rPr>
      <w:rFonts w:ascii="Calibri" w:eastAsia="Calibri" w:hAnsi="Calibri"/>
      <w:color w:val="C45911" w:themeColor="accent2" w:themeShade="BF"/>
      <w:lang w:eastAsia="en-GB"/>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pPr>
      <w:spacing w:after="200" w:line="276" w:lineRule="auto"/>
      <w:ind w:left="720"/>
      <w:contextualSpacing/>
    </w:pPr>
    <w:rPr>
      <w:rFonts w:eastAsia="Calibri"/>
      <w:lang w:val="en-CA" w:eastAsia="en-US"/>
    </w:rPr>
  </w:style>
  <w:style w:type="character" w:customStyle="1" w:styleId="TitleChar">
    <w:name w:val="Title Char"/>
    <w:basedOn w:val="DefaultParagraphFont"/>
    <w:link w:val="Title"/>
    <w:uiPriority w:val="10"/>
    <w:qFormat/>
    <w:rPr>
      <w:rFonts w:ascii="Cambria" w:eastAsia="Times New Roman" w:hAnsi="Cambria" w:cs="Times New Roman"/>
      <w:b/>
      <w:bCs/>
      <w:kern w:val="28"/>
      <w:sz w:val="32"/>
      <w:szCs w:val="32"/>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Cs w:val="20"/>
      <w:lang w:val="fr-FR" w:eastAsia="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US"/>
    </w:rPr>
  </w:style>
  <w:style w:type="paragraph" w:customStyle="1" w:styleId="Bibliography1">
    <w:name w:val="Bibliography1"/>
    <w:basedOn w:val="Normal"/>
    <w:next w:val="Normal"/>
    <w:uiPriority w:val="37"/>
    <w:unhideWhenUsed/>
    <w:qFormat/>
    <w:pPr>
      <w:spacing w:after="200" w:line="276" w:lineRule="auto"/>
    </w:pPr>
    <w:rPr>
      <w:rFonts w:eastAsia="Calibri"/>
      <w:lang w:val="en-CA"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en-GB"/>
    </w:rPr>
  </w:style>
  <w:style w:type="table" w:customStyle="1" w:styleId="GridTable21">
    <w:name w:val="Grid Table 21"/>
    <w:basedOn w:val="TableNormal"/>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51">
    <w:name w:val="List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markedcontent">
    <w:name w:val="markedcontent"/>
    <w:basedOn w:val="DefaultParagraphFont"/>
    <w:qFormat/>
  </w:style>
  <w:style w:type="character" w:styleId="Strong">
    <w:name w:val="Strong"/>
    <w:basedOn w:val="DefaultParagraphFont"/>
    <w:uiPriority w:val="22"/>
    <w:qFormat/>
    <w:rsid w:val="00067E67"/>
    <w:rPr>
      <w:b/>
      <w:bCs/>
    </w:rPr>
  </w:style>
  <w:style w:type="character" w:customStyle="1" w:styleId="whitespace-normal">
    <w:name w:val="whitespace-normal"/>
    <w:basedOn w:val="DefaultParagraphFont"/>
    <w:rsid w:val="00804886"/>
  </w:style>
  <w:style w:type="character" w:customStyle="1" w:styleId="apple-converted-space">
    <w:name w:val="apple-converted-space"/>
    <w:basedOn w:val="DefaultParagraphFont"/>
    <w:rsid w:val="00B636E9"/>
  </w:style>
  <w:style w:type="paragraph" w:styleId="TOCHeading">
    <w:name w:val="TOC Heading"/>
    <w:basedOn w:val="Heading1"/>
    <w:next w:val="Normal"/>
    <w:uiPriority w:val="39"/>
    <w:unhideWhenUsed/>
    <w:qFormat/>
    <w:rsid w:val="00A5156C"/>
    <w:pPr>
      <w:spacing w:before="480" w:line="276" w:lineRule="auto"/>
      <w:outlineLvl w:val="9"/>
    </w:pPr>
    <w:rPr>
      <w:b/>
      <w:bCs/>
      <w:sz w:val="28"/>
      <w:szCs w:val="28"/>
      <w:lang w:val="en-US"/>
    </w:rPr>
  </w:style>
  <w:style w:type="paragraph" w:styleId="TOC4">
    <w:name w:val="toc 4"/>
    <w:basedOn w:val="Normal"/>
    <w:next w:val="Normal"/>
    <w:autoRedefine/>
    <w:uiPriority w:val="39"/>
    <w:semiHidden/>
    <w:unhideWhenUsed/>
    <w:rsid w:val="00A5156C"/>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A5156C"/>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A5156C"/>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5156C"/>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5156C"/>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5156C"/>
    <w:pPr>
      <w:ind w:left="1920"/>
    </w:pPr>
    <w:rPr>
      <w:rFonts w:asciiTheme="minorHAnsi" w:hAnsiTheme="minorHAnsi" w:cstheme="minorHAnsi"/>
      <w:sz w:val="20"/>
      <w:szCs w:val="20"/>
    </w:rPr>
  </w:style>
  <w:style w:type="character" w:customStyle="1" w:styleId="UnresolvedMention">
    <w:name w:val="Unresolved Mention"/>
    <w:basedOn w:val="DefaultParagraphFont"/>
    <w:uiPriority w:val="99"/>
    <w:semiHidden/>
    <w:unhideWhenUsed/>
    <w:rsid w:val="0037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17027">
      <w:bodyDiv w:val="1"/>
      <w:marLeft w:val="0"/>
      <w:marRight w:val="0"/>
      <w:marTop w:val="0"/>
      <w:marBottom w:val="0"/>
      <w:divBdr>
        <w:top w:val="none" w:sz="0" w:space="0" w:color="auto"/>
        <w:left w:val="none" w:sz="0" w:space="0" w:color="auto"/>
        <w:bottom w:val="none" w:sz="0" w:space="0" w:color="auto"/>
        <w:right w:val="none" w:sz="0" w:space="0" w:color="auto"/>
      </w:divBdr>
    </w:div>
    <w:div w:id="735588069">
      <w:bodyDiv w:val="1"/>
      <w:marLeft w:val="0"/>
      <w:marRight w:val="0"/>
      <w:marTop w:val="0"/>
      <w:marBottom w:val="0"/>
      <w:divBdr>
        <w:top w:val="none" w:sz="0" w:space="0" w:color="auto"/>
        <w:left w:val="none" w:sz="0" w:space="0" w:color="auto"/>
        <w:bottom w:val="none" w:sz="0" w:space="0" w:color="auto"/>
        <w:right w:val="none" w:sz="0" w:space="0" w:color="auto"/>
      </w:divBdr>
      <w:divsChild>
        <w:div w:id="874578852">
          <w:marLeft w:val="0"/>
          <w:marRight w:val="0"/>
          <w:marTop w:val="0"/>
          <w:marBottom w:val="0"/>
          <w:divBdr>
            <w:top w:val="none" w:sz="0" w:space="0" w:color="auto"/>
            <w:left w:val="none" w:sz="0" w:space="0" w:color="auto"/>
            <w:bottom w:val="none" w:sz="0" w:space="0" w:color="auto"/>
            <w:right w:val="none" w:sz="0" w:space="0" w:color="auto"/>
          </w:divBdr>
          <w:divsChild>
            <w:div w:id="17846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04718">
      <w:bodyDiv w:val="1"/>
      <w:marLeft w:val="0"/>
      <w:marRight w:val="0"/>
      <w:marTop w:val="0"/>
      <w:marBottom w:val="0"/>
      <w:divBdr>
        <w:top w:val="none" w:sz="0" w:space="0" w:color="auto"/>
        <w:left w:val="none" w:sz="0" w:space="0" w:color="auto"/>
        <w:bottom w:val="none" w:sz="0" w:space="0" w:color="auto"/>
        <w:right w:val="none" w:sz="0" w:space="0" w:color="auto"/>
      </w:divBdr>
    </w:div>
    <w:div w:id="967861694">
      <w:bodyDiv w:val="1"/>
      <w:marLeft w:val="0"/>
      <w:marRight w:val="0"/>
      <w:marTop w:val="0"/>
      <w:marBottom w:val="0"/>
      <w:divBdr>
        <w:top w:val="none" w:sz="0" w:space="0" w:color="auto"/>
        <w:left w:val="none" w:sz="0" w:space="0" w:color="auto"/>
        <w:bottom w:val="none" w:sz="0" w:space="0" w:color="auto"/>
        <w:right w:val="none" w:sz="0" w:space="0" w:color="auto"/>
      </w:divBdr>
    </w:div>
    <w:div w:id="1118715740">
      <w:bodyDiv w:val="1"/>
      <w:marLeft w:val="0"/>
      <w:marRight w:val="0"/>
      <w:marTop w:val="0"/>
      <w:marBottom w:val="0"/>
      <w:divBdr>
        <w:top w:val="none" w:sz="0" w:space="0" w:color="auto"/>
        <w:left w:val="none" w:sz="0" w:space="0" w:color="auto"/>
        <w:bottom w:val="none" w:sz="0" w:space="0" w:color="auto"/>
        <w:right w:val="none" w:sz="0" w:space="0" w:color="auto"/>
      </w:divBdr>
    </w:div>
    <w:div w:id="1214200189">
      <w:bodyDiv w:val="1"/>
      <w:marLeft w:val="0"/>
      <w:marRight w:val="0"/>
      <w:marTop w:val="0"/>
      <w:marBottom w:val="0"/>
      <w:divBdr>
        <w:top w:val="none" w:sz="0" w:space="0" w:color="auto"/>
        <w:left w:val="none" w:sz="0" w:space="0" w:color="auto"/>
        <w:bottom w:val="none" w:sz="0" w:space="0" w:color="auto"/>
        <w:right w:val="none" w:sz="0" w:space="0" w:color="auto"/>
      </w:divBdr>
      <w:divsChild>
        <w:div w:id="240070905">
          <w:marLeft w:val="0"/>
          <w:marRight w:val="0"/>
          <w:marTop w:val="0"/>
          <w:marBottom w:val="0"/>
          <w:divBdr>
            <w:top w:val="none" w:sz="0" w:space="0" w:color="auto"/>
            <w:left w:val="none" w:sz="0" w:space="0" w:color="auto"/>
            <w:bottom w:val="none" w:sz="0" w:space="0" w:color="auto"/>
            <w:right w:val="none" w:sz="0" w:space="0" w:color="auto"/>
          </w:divBdr>
          <w:divsChild>
            <w:div w:id="135430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9101">
      <w:bodyDiv w:val="1"/>
      <w:marLeft w:val="0"/>
      <w:marRight w:val="0"/>
      <w:marTop w:val="0"/>
      <w:marBottom w:val="0"/>
      <w:divBdr>
        <w:top w:val="none" w:sz="0" w:space="0" w:color="auto"/>
        <w:left w:val="none" w:sz="0" w:space="0" w:color="auto"/>
        <w:bottom w:val="none" w:sz="0" w:space="0" w:color="auto"/>
        <w:right w:val="none" w:sz="0" w:space="0" w:color="auto"/>
      </w:divBdr>
    </w:div>
    <w:div w:id="1362363714">
      <w:bodyDiv w:val="1"/>
      <w:marLeft w:val="0"/>
      <w:marRight w:val="0"/>
      <w:marTop w:val="0"/>
      <w:marBottom w:val="0"/>
      <w:divBdr>
        <w:top w:val="none" w:sz="0" w:space="0" w:color="auto"/>
        <w:left w:val="none" w:sz="0" w:space="0" w:color="auto"/>
        <w:bottom w:val="none" w:sz="0" w:space="0" w:color="auto"/>
        <w:right w:val="none" w:sz="0" w:space="0" w:color="auto"/>
      </w:divBdr>
    </w:div>
    <w:div w:id="1457412370">
      <w:bodyDiv w:val="1"/>
      <w:marLeft w:val="0"/>
      <w:marRight w:val="0"/>
      <w:marTop w:val="0"/>
      <w:marBottom w:val="0"/>
      <w:divBdr>
        <w:top w:val="none" w:sz="0" w:space="0" w:color="auto"/>
        <w:left w:val="none" w:sz="0" w:space="0" w:color="auto"/>
        <w:bottom w:val="none" w:sz="0" w:space="0" w:color="auto"/>
        <w:right w:val="none" w:sz="0" w:space="0" w:color="auto"/>
      </w:divBdr>
    </w:div>
    <w:div w:id="1570310434">
      <w:bodyDiv w:val="1"/>
      <w:marLeft w:val="0"/>
      <w:marRight w:val="0"/>
      <w:marTop w:val="0"/>
      <w:marBottom w:val="0"/>
      <w:divBdr>
        <w:top w:val="none" w:sz="0" w:space="0" w:color="auto"/>
        <w:left w:val="none" w:sz="0" w:space="0" w:color="auto"/>
        <w:bottom w:val="none" w:sz="0" w:space="0" w:color="auto"/>
        <w:right w:val="none" w:sz="0" w:space="0" w:color="auto"/>
      </w:divBdr>
    </w:div>
    <w:div w:id="2111120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dgsecretariat@nca.org.g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nroamingresponse@nca.org.gh"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nca.org.g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May 2022</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b:Source>
    <b:Tag>Cisco</b:Tag>
    <b:SourceType>Report</b:SourceType>
    <b:Guid>{EF5BB6A5-7F22-4D92-A8FB-DEFD8630358B}</b:Guid>
    <b:Title>Cisco Annual Internet Report (2018–2023) White Paper</b:Title>
    <b:Year>March, 2020</b:Year>
    <b:LCID>en-GB</b:LCID>
    <b:Publisher>Cisco</b:Publisher>
    <b:City>US</b:City>
    <b:URL>https://www.cisco.com/c/en/us/solutions/collateral/executive-perspectives/annual-internet-report/white-paper-c11-741490.html</b:URL>
    <b:RefOrder>10</b:RefOrder>
  </b:Source>
  <b:Source>
    <b:Tag>ATU21</b:Tag>
    <b:SourceType>Report</b:SourceType>
    <b:Guid>{4EBBA5AA-F1B8-470C-808F-30A47F287F06}</b:Guid>
    <b:Author>
      <b:Author>
        <b:NameList>
          <b:Person>
            <b:Last>ATU</b:Last>
          </b:Person>
        </b:NameList>
      </b:Author>
    </b:Author>
    <b:Title>ATU-R RECOMMENDATION</b:Title>
    <b:Year>July, 2021</b:Year>
    <b:Publisher>ATU</b:Publisher>
    <b:City>Africa</b:City>
    <b:URL>https://www.atuuat.africa/wp-content/uploads/2021/08/En_ATU-R-Recommendation-005-0.pdf</b:URL>
    <b:RefOrder>11</b:RefOrder>
  </b:Source>
  <b:Source>
    <b:Tag>CEP</b:Tag>
    <b:SourceType>Report</b:SourceType>
    <b:Guid>{D38A6326-9583-4DBB-B733-882DE718DF77}</b:Guid>
    <b:Author>
      <b:Author>
        <b:NameList>
          <b:Person>
            <b:Last>CEPT</b:Last>
          </b:Person>
        </b:NameList>
      </b:Author>
    </b:Author>
    <b:Title>ECC Decision (20)01</b:Title>
    <b:Publisher>CEPT</b:Publisher>
    <b:City>UK</b:City>
    <b:URL>https://docdb.cept.org/download/1448</b:URL>
    <b:Year>Nov. 2020</b:Year>
    <b:RefOrder>12</b:RefOrder>
  </b:Source>
  <b:Source>
    <b:Tag>Eur211</b:Tag>
    <b:SourceType>JournalArticle</b:SourceType>
    <b:Guid>{F0E58904-7695-8949-96E7-EAA5BBFBD7B8}</b:Guid>
    <b:Title>DECISIONS: Commission Implementing Decision (EU) 2021/1067 of 17 June 2021 on the harmonised use of radio spectrum in the 5 945-6 425 MHz frequency band for the implementation of wireless access systems including radio local area networks (WAS/RLANs) </b:Title>
    <b:Year>2021</b:Year>
    <b:Author>
      <b:Author>
        <b:Corporate>European Union</b:Corporate>
      </b:Author>
    </b:Author>
    <b:JournalName>Official Journal of the European Union English Edition</b:JournalName>
    <b:Volume>64; </b:Volume>
    <b:Issue>L232 </b:Issue>
    <b:Pages>https://eur-lex.europa.eu/legal-content/EN/TXT/PDF/?uri=OJ:L:2021:232:FULL&amp;from=EN</b:Pages>
    <b:RefOrder>2</b:RefOrder>
  </b:Source>
  <b:Source>
    <b:Tag>Ofc21</b:Tag>
    <b:SourceType>DocumentFromInternetSite</b:SourceType>
    <b:Guid>{47134D90-2455-F04C-B9D2-AFC5A1FB8444}</b:Guid>
    <b:Title>Decision on changes to the licence exemption for wireless telegraphy devices and on licensing equipment in 57 to 71 GHz - Making more spectrum available for Wi-Fi, Data Networks and Short-Range Devices, and managing the use of higher power equipment in th</b:Title>
    <b:Year>2021</b:Year>
    <b:Author>
      <b:Author>
        <b:Corporate>Ofcom</b:Corporate>
      </b:Author>
    </b:Author>
    <b:URL>https://www.ofcom.org.uk/__data/assets/pdf_file/0023/218129/2021-LE-exemption-statement-final.pdf</b:URL>
    <b:Month>April</b:Month>
    <b:Day>29</b:Day>
    <b:YearAccessed>2022</b:YearAccessed>
    <b:MonthAccessed>July</b:MonthAccessed>
    <b:DayAccessed>13</b:DayAccessed>
    <b:RefOrder>3</b:RefOrder>
  </b:Source>
  <b:Source>
    <b:Tag>Fed201</b:Tag>
    <b:SourceType>DocumentFromInternetSite</b:SourceType>
    <b:Guid>{8883FCE6-25FF-C746-91D8-D1EDC2B5BD0F}</b:Guid>
    <b:Author>
      <b:Author>
        <b:Corporate>Federal Communications Commission</b:Corporate>
      </b:Author>
    </b:Author>
    <b:Title>FCC ADOPTS NEW RULES FOR THE 6 GHz BAND, UNLEASHING 1,200 MEGAHERTZ OF SPECTRUM FOR UNLICENSED USE</b:Title>
    <b:URL>https://docs.fcc.gov/public/attachments/DOC-363945A1.pdf</b:URL>
    <b:Year>2020</b:Year>
    <b:Month>April</b:Month>
    <b:Day>23</b:Day>
    <b:YearAccessed>2022</b:YearAccessed>
    <b:MonthAccessed>July</b:MonthAccessed>
    <b:DayAccessed>14</b:DayAccessed>
    <b:RefOrder>4</b:RefOrder>
  </b:Source>
  <b:Source>
    <b:Tag>Inn21</b:Tag>
    <b:SourceType>DocumentFromInternetSite</b:SourceType>
    <b:Guid>{76E61012-59F5-814E-91FF-067C56B2C859}</b:Guid>
    <b:Author>
      <b:Author>
        <b:Corporate>Innovation, Science and Economic Development Canada (ISED)</b:Corporate>
      </b:Author>
    </b:Author>
    <b:Title>Decision on the Technical and Policy Framework for Licence-Exempt Use in the 6 GHz Band</b:Title>
    <b:URL>https://www.ic.gc.ca/eic/site/smt-gst.nsf/eng/sf11698.html</b:URL>
    <b:Year>2021</b:Year>
    <b:Month>May</b:Month>
    <b:YearAccessed>2022</b:YearAccessed>
    <b:MonthAccessed>July</b:MonthAccessed>
    <b:DayAccessed>14</b:DayAccessed>
    <b:RefOrder>5</b:RefOrder>
  </b:Source>
  <b:Source>
    <b:Tag>Cat21</b:Tag>
    <b:SourceType>DocumentFromInternetSite</b:SourceType>
    <b:Guid>{2F5B27D4-500B-C74A-80A9-AC20C55B7FDA}</b:Guid>
    <b:Author>
      <b:Author>
        <b:NameList>
          <b:Person>
            <b:Last>Nin</b:Last>
            <b:First>Catherine</b:First>
            <b:Middle>Sbeglia</b:Middle>
          </b:Person>
        </b:NameList>
      </b:Author>
    </b:Author>
    <b:Title>What is the status of global Wi-Fi 6E efforts? </b:Title>
    <b:URL>https://www.rcrwireless.com/20210120/network-infrastructure/what-is-the-status-of-global-wi-fi-6e-efforts</b:URL>
    <b:Year>2021</b:Year>
    <b:Month>January</b:Month>
    <b:Day>20</b:Day>
    <b:YearAccessed>2022</b:YearAccessed>
    <b:MonthAccessed>July</b:MonthAccessed>
    <b:DayAccessed>14</b:DayAccessed>
    <b:RefOrder>6</b:RefOrder>
  </b:Source>
  <b:Source>
    <b:Tag>Jam21</b:Tag>
    <b:SourceType>DocumentFromInternetSite</b:SourceType>
    <b:Guid>{BE294786-5C00-2A4C-8572-98A49CDFAED3}</b:Guid>
    <b:Author>
      <b:Author>
        <b:NameList>
          <b:Person>
            <b:Last>Barton</b:Last>
            <b:First>James</b:First>
          </b:Person>
        </b:NameList>
      </b:Author>
    </b:Author>
    <b:Title>Anatel clears 6GHz band for unlicensed Wi-Fi access in Brazil</b:Title>
    <b:URL>https://developingtelecoms.com/telecom-business/telecom-regulation/10823-anatel-clears-6ghz-band-for-unlicensed-wi-fi-access-in-brazil.html</b:URL>
    <b:Year>2021</b:Year>
    <b:Month>March</b:Month>
    <b:Day>8</b:Day>
    <b:YearAccessed>2022</b:YearAccessed>
    <b:MonthAccessed>July</b:MonthAccessed>
    <b:DayAccessed>14</b:DayAccessed>
    <b:RefOrder>8</b:RefOrder>
  </b:Source>
  <b:Source>
    <b:Tag>Ele20</b:Tag>
    <b:SourceType>DocumentFromInternetSite</b:SourceType>
    <b:Guid>{87C76C44-F49E-B946-9FE9-BF78CA4C1E3A}</b:Guid>
    <b:Author>
      <b:Author>
        <b:Corporate>Eleos Compliance</b:Corporate>
      </b:Author>
    </b:Author>
    <b:Title>South Korea approves the 6GHz band for unlicensed use</b:Title>
    <b:URL>https://www.eleoscompliance.com/en/article/south-korea-south-korea-approves-6ghz-band-for-unlicensed-use</b:URL>
    <b:Year>2020</b:Year>
    <b:Month>October</b:Month>
    <b:Day>15</b:Day>
    <b:YearAccessed>2022</b:YearAccessed>
    <b:MonthAccessed>July</b:MonthAccessed>
    <b:DayAccessed>14</b:DayAccessed>
    <b:RefOrder>7</b:RefOrder>
  </b:Source>
  <b:Source>
    <b:Tag>Afr21</b:Tag>
    <b:SourceType>DocumentFromInternetSite</b:SourceType>
    <b:Guid>{3EE1AC7B-1A16-F24E-9FF4-73A085F7C66A}</b:Guid>
    <b:Author>
      <b:Author>
        <b:Corporate>Africa Telecommunication Union</b:Corporate>
      </b:Author>
    </b:Author>
    <b:Title>ATU-R RECOMMENDATION - RELATING TO The Implementation of Emerging Radiocommunication Technologies namely: 5G/IMT2020; HAPS; FSS ESIM; MSS Applications; FSS VSAT and Other Applications; WiFi in 6GHz; WiGig in 60GHz and 5G NR-U</b:Title>
    <b:URL>https://atuuat.africa/wp-content/uploads/2021/08/En_ATU-R-Recommendation-005-0.pdf</b:URL>
    <b:Year>2021</b:Year>
    <b:Month>July</b:Month>
    <b:YearAccessed>2022</b:YearAccessed>
    <b:MonthAccessed>July</b:MonthAccessed>
    <b:DayAccessed>14</b:DayAccessed>
    <b:RefOrder>9</b:RefOrder>
  </b:Source>
  <b:Source>
    <b:Tag>Cis20</b:Tag>
    <b:SourceType>DocumentFromInternetSite</b:SourceType>
    <b:Guid>{8D70074B-8B10-3D4E-8235-614E871EA138}</b:Guid>
    <b:Author>
      <b:Author>
        <b:Corporate>Cisco</b:Corporate>
      </b:Author>
    </b:Author>
    <b:Title> Cisco Annual Internet Report (2018–2023) White Paper</b:Title>
    <b:URL>https://www.cisco.com/c/en/us/solutions/collateral/executive-perspectives/annual-internet-report/white-paper-c11-741490.html</b:URL>
    <b:Year>2020</b:Year>
    <b:Month>March</b:Month>
    <b:YearAccessed>2022</b:YearAccessed>
    <b:MonthAccessed>May</b:MonthAccessed>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949F9F-D42C-45B2-8F64-8E82619B19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98F604-6317-4333-93F7-347FF360AFC6}">
  <ds:schemaRefs>
    <ds:schemaRef ds:uri="http://schemas.microsoft.com/sharepoint/v3/contenttype/forms"/>
  </ds:schemaRefs>
</ds:datastoreItem>
</file>

<file path=customXml/itemProps4.xml><?xml version="1.0" encoding="utf-8"?>
<ds:datastoreItem xmlns:ds="http://schemas.openxmlformats.org/officeDocument/2006/customXml" ds:itemID="{9C0BF099-FB79-4FA5-BD2D-593F19BBF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63B858E-C729-4EC0-A1E1-9006EA6E1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3685</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PUBLIC CONSULTATION ON THE LICENSING OF FREQUENCY IN THE 800MHz BAND (i.e. DIGITAL DIVIDEND)</vt:lpstr>
    </vt:vector>
  </TitlesOfParts>
  <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ON THE LICENSING OF FREQUENCY IN THE 800MHz BAND (i.e. DIGITAL DIVIDEND)</dc:title>
  <dc:creator>Edmund</dc:creator>
  <cp:lastModifiedBy>Mercy Obeng-Dapaah</cp:lastModifiedBy>
  <cp:revision>4</cp:revision>
  <cp:lastPrinted>2026-03-12T21:45:00Z</cp:lastPrinted>
  <dcterms:created xsi:type="dcterms:W3CDTF">2026-03-09T20:19:00Z</dcterms:created>
  <dcterms:modified xsi:type="dcterms:W3CDTF">2026-03-12T21:45:00Z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02AB46A1C19141A583DFE1FF2375CD50_12</vt:lpwstr>
  </property>
</Properties>
</file>